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92BA" w14:textId="77777777" w:rsidR="009423D5" w:rsidRDefault="009423D5" w:rsidP="006A19F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cs-CZ"/>
        </w:rPr>
      </w:pPr>
    </w:p>
    <w:p w14:paraId="63B947EF" w14:textId="356EAB72" w:rsidR="006A19FD" w:rsidRPr="006A19FD" w:rsidRDefault="007C32AD" w:rsidP="006A19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24"/>
          <w:lang w:eastAsia="cs-CZ"/>
        </w:rPr>
        <w:t>Súhrnná s</w:t>
      </w:r>
      <w:r w:rsidR="00323418" w:rsidRPr="00323418">
        <w:rPr>
          <w:rFonts w:ascii="Times New Roman" w:eastAsia="Times New Roman" w:hAnsi="Times New Roman"/>
          <w:b/>
          <w:sz w:val="32"/>
          <w:szCs w:val="24"/>
          <w:lang w:eastAsia="cs-CZ"/>
        </w:rPr>
        <w:t xml:space="preserve">práva </w:t>
      </w:r>
      <w:r w:rsidR="004610F8">
        <w:rPr>
          <w:rFonts w:ascii="Times New Roman" w:eastAsia="Times New Roman" w:hAnsi="Times New Roman"/>
          <w:b/>
          <w:sz w:val="32"/>
          <w:szCs w:val="24"/>
          <w:lang w:eastAsia="cs-CZ"/>
        </w:rPr>
        <w:t>o účasti zástupcu stavovskej alebo profesijnej organizácie na teoretickej časti odbornej zložky maturitnej skúšky, praktickej časti odbornej zložky maturitnej skúšky, absolventskej skúške alebo záverečnej skúške</w:t>
      </w:r>
    </w:p>
    <w:p w14:paraId="5609986E" w14:textId="77777777" w:rsid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14:paraId="1B131A1D" w14:textId="77777777" w:rsidR="009423D5" w:rsidRPr="006A19FD" w:rsidRDefault="009423D5" w:rsidP="006A19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14:paraId="73C0DC5C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48D29B8D" w14:textId="0C2DC79A" w:rsidR="006A19FD" w:rsidRPr="006A19FD" w:rsidRDefault="006A19FD" w:rsidP="00376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Štátny inštitút odborného vzdelávania</w:t>
      </w:r>
      <w:r w:rsidR="0021089F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čiastková aktivita 2.1.5. v súvislosti s národným projektom ,,Rozvoj st</w:t>
      </w:r>
      <w:r w:rsidR="004610F8">
        <w:rPr>
          <w:rFonts w:ascii="Times New Roman" w:eastAsia="Times New Roman" w:hAnsi="Times New Roman"/>
          <w:sz w:val="24"/>
          <w:szCs w:val="24"/>
          <w:lang w:eastAsia="cs-CZ"/>
        </w:rPr>
        <w:t xml:space="preserve">redného odborného vzdelávania“ 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vypracova</w:t>
      </w:r>
      <w:r w:rsidR="004610F8"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3187D">
        <w:rPr>
          <w:rFonts w:ascii="Times New Roman" w:eastAsia="Times New Roman" w:hAnsi="Times New Roman"/>
          <w:sz w:val="24"/>
          <w:szCs w:val="24"/>
          <w:lang w:eastAsia="cs-CZ"/>
        </w:rPr>
        <w:t xml:space="preserve">súhrnnú správu </w:t>
      </w:r>
      <w:r w:rsidR="009423D5">
        <w:rPr>
          <w:rFonts w:ascii="Times New Roman" w:eastAsia="Times New Roman" w:hAnsi="Times New Roman"/>
          <w:sz w:val="24"/>
          <w:szCs w:val="24"/>
          <w:lang w:eastAsia="cs-CZ"/>
        </w:rPr>
        <w:t>o účasti z</w:t>
      </w:r>
      <w:r w:rsidR="009423D5"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ástupcu stavovskej organizácie alebo profesijnej organizácie na </w:t>
      </w:r>
      <w:r w:rsidR="009423D5">
        <w:rPr>
          <w:rFonts w:ascii="Times New Roman" w:eastAsia="Times New Roman" w:hAnsi="Times New Roman"/>
          <w:sz w:val="24"/>
          <w:szCs w:val="24"/>
          <w:lang w:eastAsia="cs-CZ"/>
        </w:rPr>
        <w:t xml:space="preserve">ukončovaní štúdia na stredných odborných školách </w:t>
      </w:r>
      <w:r w:rsidR="009423D5" w:rsidRPr="006A19FD">
        <w:rPr>
          <w:rFonts w:ascii="Times New Roman" w:eastAsia="Times New Roman" w:hAnsi="Times New Roman"/>
          <w:sz w:val="24"/>
          <w:szCs w:val="24"/>
          <w:lang w:eastAsia="cs-CZ"/>
        </w:rPr>
        <w:t>v školskom roku 201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9423D5" w:rsidRPr="006A19FD">
        <w:rPr>
          <w:rFonts w:ascii="Times New Roman" w:eastAsia="Times New Roman" w:hAnsi="Times New Roman"/>
          <w:sz w:val="24"/>
          <w:szCs w:val="24"/>
          <w:lang w:eastAsia="cs-CZ"/>
        </w:rPr>
        <w:t>/201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9423D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3187D">
        <w:rPr>
          <w:rFonts w:ascii="Times New Roman" w:eastAsia="Times New Roman" w:hAnsi="Times New Roman"/>
          <w:sz w:val="24"/>
          <w:szCs w:val="24"/>
          <w:lang w:eastAsia="cs-CZ"/>
        </w:rPr>
        <w:t xml:space="preserve">na základe správ, </w:t>
      </w:r>
      <w:r w:rsidR="009423D5">
        <w:rPr>
          <w:rFonts w:ascii="Times New Roman" w:eastAsia="Times New Roman" w:hAnsi="Times New Roman"/>
          <w:sz w:val="24"/>
          <w:szCs w:val="24"/>
          <w:lang w:eastAsia="cs-CZ"/>
        </w:rPr>
        <w:t xml:space="preserve">ktoré </w:t>
      </w:r>
      <w:r w:rsidR="00C16A40">
        <w:rPr>
          <w:rFonts w:ascii="Times New Roman" w:eastAsia="Times New Roman" w:hAnsi="Times New Roman"/>
          <w:sz w:val="24"/>
          <w:szCs w:val="24"/>
          <w:lang w:eastAsia="cs-CZ"/>
        </w:rPr>
        <w:t>predlož</w:t>
      </w:r>
      <w:r w:rsidR="009423D5">
        <w:rPr>
          <w:rFonts w:ascii="Times New Roman" w:eastAsia="Times New Roman" w:hAnsi="Times New Roman"/>
          <w:sz w:val="24"/>
          <w:szCs w:val="24"/>
          <w:lang w:eastAsia="cs-CZ"/>
        </w:rPr>
        <w:t>ili</w:t>
      </w:r>
      <w:r w:rsidR="00C16A4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423D5">
        <w:rPr>
          <w:rFonts w:ascii="Times New Roman" w:eastAsia="Times New Roman" w:hAnsi="Times New Roman"/>
          <w:sz w:val="24"/>
          <w:szCs w:val="24"/>
          <w:lang w:eastAsia="cs-CZ"/>
        </w:rPr>
        <w:t>stavovské a profesijné organizácie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96B407D" w14:textId="77777777" w:rsidR="00C16A40" w:rsidRDefault="00C16A40" w:rsidP="00C473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83C4E6" w14:textId="77777777" w:rsidR="00376993" w:rsidRDefault="00FE10C0" w:rsidP="00376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súlade s § 32 ods. 1 zákona č. 61/2015 o odbornom vzdelávaní a príprave a o zmene a doplnení niektorých zákonov stavovská organizácia a profesijná organizácia sa vyjadruje k obsahu záverečnej skúšky, odbornej zložky maturitnej skúšky a absolventskej skúšky, môže delegovať zástupcu do skúšobnej komisie pre záverečnú skúšku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>, predmetovej maturitnej komisie pre odbornú zložku maturitnej  skúšky a skúšobnej komisie pre absolventskú skúšku.</w:t>
      </w:r>
    </w:p>
    <w:p w14:paraId="0522ABE8" w14:textId="77777777" w:rsidR="00376993" w:rsidRDefault="00376993" w:rsidP="00B272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0BFE9A6" w14:textId="44AABD64" w:rsidR="00B27207" w:rsidRDefault="00B27207" w:rsidP="00376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Pre získanie údajov za účelom vypracovania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súhrnnej správy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stavovské organizácie a profesijné 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organizácie,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súlade s čl. 6 ods. 4 „Metodiky účasti zástupcu stavovskej organizácie alebo profesijnej organizácie na teoretickej časti odbornej zložky maturitnej skúšky, praktickej časti odbornej zložky maturitnej skúšky, absolventskej skúške alebo záverečnej skúške“ predložili správy o ich účasti na ukončovaní štúdia, uv</w:t>
      </w:r>
      <w:r w:rsidR="002A309E">
        <w:rPr>
          <w:rFonts w:ascii="Times New Roman" w:eastAsia="Times New Roman" w:hAnsi="Times New Roman"/>
          <w:sz w:val="24"/>
          <w:szCs w:val="24"/>
          <w:lang w:eastAsia="cs-CZ"/>
        </w:rPr>
        <w:t>iedli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kvantitatívne ukazovatele vo vzťahu k jednotlivým 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 xml:space="preserve">skupinám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odboro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vzdelávania, pred</w:t>
      </w:r>
      <w:r w:rsidR="002A309E">
        <w:rPr>
          <w:rFonts w:ascii="Times New Roman" w:eastAsia="Times New Roman" w:hAnsi="Times New Roman"/>
          <w:sz w:val="24"/>
          <w:szCs w:val="24"/>
          <w:lang w:eastAsia="cs-CZ"/>
        </w:rPr>
        <w:t>ložili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návrhy a odporúčania smerujúce k zlepšeniu koordinácie odborného vzdelávania a prípravy pre trh práce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6D736AE8" w14:textId="77777777" w:rsidR="00B27207" w:rsidRDefault="00B27207" w:rsidP="00B272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D92BCE" w14:textId="076364E2" w:rsidR="00B27207" w:rsidRDefault="00B27207" w:rsidP="00376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Metodika bola schválená Ministerstvom školstva, vedy, výskumu a športu SR </w:t>
      </w:r>
      <w:r w:rsidRPr="00205FD7">
        <w:rPr>
          <w:rFonts w:ascii="Times New Roman" w:eastAsia="Times New Roman" w:hAnsi="Times New Roman"/>
          <w:sz w:val="24"/>
          <w:szCs w:val="24"/>
          <w:lang w:eastAsia="cs-CZ"/>
        </w:rPr>
        <w:t>v súlade s § 3 ods. 1 písm</w:t>
      </w:r>
      <w:r w:rsidR="00FA5C8A" w:rsidRPr="00205FD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205FD7">
        <w:rPr>
          <w:rFonts w:ascii="Times New Roman" w:eastAsia="Times New Roman" w:hAnsi="Times New Roman"/>
          <w:sz w:val="24"/>
          <w:szCs w:val="24"/>
          <w:lang w:eastAsia="cs-CZ"/>
        </w:rPr>
        <w:t xml:space="preserve"> d) v spojení s § 5 ods. 3 písm</w:t>
      </w:r>
      <w:r w:rsidR="00FA5C8A" w:rsidRPr="00205FD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205FD7">
        <w:rPr>
          <w:rFonts w:ascii="Times New Roman" w:eastAsia="Times New Roman" w:hAnsi="Times New Roman"/>
          <w:sz w:val="24"/>
          <w:szCs w:val="24"/>
          <w:lang w:eastAsia="cs-CZ"/>
        </w:rPr>
        <w:t xml:space="preserve"> l) zákona č. 184/2009 Z. z. o odbornom vzdelávaní a príprave a o zmene a doplnení niektorých zákonov. Metodika upravuje účasť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zástupcu vecne príslušnej stavovskej organizácie alebo profesijnej organizácie k jednotlivým študijným odborom na teoretickej časti odbornej zložky maturitnej skúšky, praktickej časti odbornej zložky maturitnej skúšky, absolventskej skúške alebo záverečnej skúške. Metodika zároveň upravuje súčinnosť stavovskej organizácie alebo profesijnej organizácie s obvodným úradom v sídle kraja a so strednou odbornou školou.</w:t>
      </w:r>
    </w:p>
    <w:p w14:paraId="16DE87CF" w14:textId="77777777" w:rsidR="00B27207" w:rsidRDefault="00B27207" w:rsidP="00C473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992B0F" w14:textId="06DA925D" w:rsidR="006A19FD" w:rsidRPr="006A19FD" w:rsidRDefault="006A19FD" w:rsidP="00C473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Štátny inštitút odborného vzdelávania v rámci národného projektu </w:t>
      </w:r>
      <w:r w:rsidR="00205FD7" w:rsidRPr="006A19FD">
        <w:rPr>
          <w:rFonts w:ascii="Times New Roman" w:eastAsia="Times New Roman" w:hAnsi="Times New Roman"/>
          <w:sz w:val="24"/>
          <w:szCs w:val="24"/>
          <w:lang w:eastAsia="cs-CZ"/>
        </w:rPr>
        <w:t>,,Rozvoj st</w:t>
      </w:r>
      <w:r w:rsidR="00205FD7">
        <w:rPr>
          <w:rFonts w:ascii="Times New Roman" w:eastAsia="Times New Roman" w:hAnsi="Times New Roman"/>
          <w:sz w:val="24"/>
          <w:szCs w:val="24"/>
          <w:lang w:eastAsia="cs-CZ"/>
        </w:rPr>
        <w:t xml:space="preserve">redného odborného vzdelávania“ 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úzko spolupracuje s nasledovnými profesijnými a stavovskými organizáciami:</w:t>
      </w:r>
    </w:p>
    <w:p w14:paraId="6015821D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2D7E0F" w14:textId="04B0DD73" w:rsidR="006A19FD" w:rsidRPr="006A19FD" w:rsidRDefault="006A19FD" w:rsidP="006A19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Asociácia zamestnávateľských zväzov s združení SR (AZZZ SR</w:t>
      </w:r>
      <w:r w:rsidR="00FA45CC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</w:p>
    <w:p w14:paraId="675F0D2F" w14:textId="32058867" w:rsidR="00FA45CC" w:rsidRDefault="006A19FD" w:rsidP="002400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45CC">
        <w:rPr>
          <w:rFonts w:ascii="Times New Roman" w:eastAsia="Times New Roman" w:hAnsi="Times New Roman"/>
          <w:sz w:val="24"/>
          <w:szCs w:val="24"/>
          <w:lang w:eastAsia="cs-CZ"/>
        </w:rPr>
        <w:t>Slovenská potravinárska a poľnohospodárska komora (SPPK)</w:t>
      </w:r>
      <w:r w:rsidR="0013187D">
        <w:rPr>
          <w:rFonts w:ascii="Times New Roman" w:eastAsia="Times New Roman" w:hAnsi="Times New Roman"/>
          <w:sz w:val="24"/>
          <w:szCs w:val="24"/>
          <w:lang w:eastAsia="cs-CZ"/>
        </w:rPr>
        <w:t>, Slovenská lesnícka komora (SLK)</w:t>
      </w:r>
      <w:r w:rsidR="00FA45CC" w:rsidRPr="00FA4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B0B2272" w14:textId="5036E6A4" w:rsidR="006A19FD" w:rsidRPr="00FA45CC" w:rsidRDefault="006A19FD" w:rsidP="002400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45CC">
        <w:rPr>
          <w:rFonts w:ascii="Times New Roman" w:eastAsia="Times New Roman" w:hAnsi="Times New Roman"/>
          <w:sz w:val="24"/>
          <w:szCs w:val="24"/>
          <w:lang w:eastAsia="cs-CZ"/>
        </w:rPr>
        <w:t>Slovenská obchodná a priemyselná komora (SOPK)</w:t>
      </w:r>
      <w:r w:rsidR="00FA4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E8577CD" w14:textId="0AC7E76A" w:rsidR="006A19FD" w:rsidRPr="006A19FD" w:rsidRDefault="006A19FD" w:rsidP="006A19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Slov</w:t>
      </w:r>
      <w:r w:rsidR="0013187D">
        <w:rPr>
          <w:rFonts w:ascii="Times New Roman" w:eastAsia="Times New Roman" w:hAnsi="Times New Roman"/>
          <w:sz w:val="24"/>
          <w:szCs w:val="24"/>
          <w:lang w:eastAsia="cs-CZ"/>
        </w:rPr>
        <w:t>enská živnostenská komora (SŽK)</w:t>
      </w:r>
    </w:p>
    <w:p w14:paraId="688F1B22" w14:textId="55BAF78C" w:rsidR="006A19FD" w:rsidRPr="002A309E" w:rsidRDefault="006A19FD" w:rsidP="006125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309E">
        <w:rPr>
          <w:rFonts w:ascii="Times New Roman" w:eastAsia="Times New Roman" w:hAnsi="Times New Roman"/>
          <w:sz w:val="24"/>
          <w:szCs w:val="24"/>
          <w:lang w:eastAsia="cs-CZ"/>
        </w:rPr>
        <w:t>Republiková únia zamestnávateľov (RÚZ</w:t>
      </w:r>
      <w:r w:rsidR="002A309E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13187D">
        <w:rPr>
          <w:rFonts w:ascii="Times New Roman" w:eastAsia="Times New Roman" w:hAnsi="Times New Roman"/>
          <w:sz w:val="24"/>
          <w:szCs w:val="24"/>
          <w:lang w:eastAsia="cs-CZ"/>
        </w:rPr>
        <w:t>, Slovenská banská komora (SBK)</w:t>
      </w:r>
      <w:r w:rsidR="002A309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C59F2BD" w14:textId="77777777" w:rsidR="002A309E" w:rsidRDefault="002A309E" w:rsidP="00EB54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B21EE6C" w14:textId="5B543861" w:rsidR="00FA5C8A" w:rsidRDefault="00FA5C8A" w:rsidP="00376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A5C8A">
        <w:rPr>
          <w:rFonts w:ascii="Times New Roman" w:eastAsia="Times New Roman" w:hAnsi="Times New Roman"/>
          <w:b/>
          <w:sz w:val="24"/>
          <w:szCs w:val="24"/>
          <w:lang w:eastAsia="cs-CZ"/>
        </w:rPr>
        <w:t>V prílohe č.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uvádzame vecnú pôsobnosť </w:t>
      </w:r>
      <w:r w:rsidR="00FE10C0">
        <w:rPr>
          <w:rFonts w:ascii="Times New Roman" w:eastAsia="Times New Roman" w:hAnsi="Times New Roman"/>
          <w:sz w:val="24"/>
          <w:szCs w:val="24"/>
          <w:lang w:eastAsia="cs-CZ"/>
        </w:rPr>
        <w:t xml:space="preserve">príslušnej stavovskej organizácie alebo príslušnej profesijnej organizácie k jednotlivým skupinám odborov vzdelávania (vyhláška č. 64/2015 o sústave odborov vzdelávania a o vecnej pôsobnosti k odborom vzdelávania, príloha č. 7). </w:t>
      </w:r>
      <w:r w:rsidR="00205FD7">
        <w:rPr>
          <w:rFonts w:ascii="Times New Roman" w:eastAsia="Times New Roman" w:hAnsi="Times New Roman"/>
          <w:sz w:val="24"/>
          <w:szCs w:val="24"/>
          <w:lang w:eastAsia="cs-CZ"/>
        </w:rPr>
        <w:t xml:space="preserve"> V prílohe 2 je </w:t>
      </w:r>
    </w:p>
    <w:p w14:paraId="1BD34AB1" w14:textId="77777777" w:rsidR="009C3056" w:rsidRDefault="009C3056" w:rsidP="00EB540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7BA993" w14:textId="1724CD33" w:rsidR="00EB5402" w:rsidRPr="00EB5402" w:rsidRDefault="00EB5402" w:rsidP="00376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Účasť stavovskej organizácie alebo profesijnej organizácie na ukončovaní štúdia žiaka </w:t>
      </w:r>
      <w:r w:rsidR="004A264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nadväz</w:t>
      </w:r>
      <w:r w:rsidR="0089415C">
        <w:rPr>
          <w:rFonts w:ascii="Times New Roman" w:eastAsia="Times New Roman" w:hAnsi="Times New Roman"/>
          <w:sz w:val="24"/>
          <w:szCs w:val="24"/>
          <w:lang w:eastAsia="cs-CZ"/>
        </w:rPr>
        <w:t>uje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ich predchádzajúce pôsobenie v oblasti tvorby obsahu </w:t>
      </w:r>
      <w:r w:rsidR="00B71702">
        <w:rPr>
          <w:rFonts w:ascii="Times New Roman" w:eastAsia="Times New Roman" w:hAnsi="Times New Roman"/>
          <w:sz w:val="24"/>
          <w:szCs w:val="24"/>
          <w:lang w:eastAsia="cs-CZ"/>
        </w:rPr>
        <w:t xml:space="preserve">a procesu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odborného vzdelávania a</w:t>
      </w:r>
      <w:r w:rsidR="00B7170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prípravy</w:t>
      </w:r>
      <w:r w:rsidR="00B71702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Účasťou stavovskej organizácie </w:t>
      </w:r>
      <w:r w:rsidR="00B71702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lebo profesijnej organizácie </w:t>
      </w:r>
      <w:r w:rsidR="004A264C">
        <w:rPr>
          <w:rFonts w:ascii="Times New Roman" w:eastAsia="Times New Roman" w:hAnsi="Times New Roman"/>
          <w:sz w:val="24"/>
          <w:szCs w:val="24"/>
          <w:lang w:eastAsia="cs-CZ"/>
        </w:rPr>
        <w:t>na ukončovaní štúdia žiaka sa zabezpečuj</w:t>
      </w:r>
      <w:r w:rsidR="00C16A40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4A264C">
        <w:rPr>
          <w:rFonts w:ascii="Times New Roman" w:eastAsia="Times New Roman" w:hAnsi="Times New Roman"/>
          <w:sz w:val="24"/>
          <w:szCs w:val="24"/>
          <w:lang w:eastAsia="cs-CZ"/>
        </w:rPr>
        <w:t xml:space="preserve"> koordinácia odborného vzdelávania a prípravy z hľadiska výstupu zodpovedajúcemu požiadavkám stavovskej organizácie alebo profesijnej organizácie v súlade s potrebami trhu práce.</w:t>
      </w:r>
    </w:p>
    <w:p w14:paraId="7D79EBA8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347B38" w14:textId="57C62167" w:rsidR="00892EA6" w:rsidRPr="006A19FD" w:rsidRDefault="00892EA6" w:rsidP="00376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Z údajov dodaných profesijnými a stavovský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>mi organizáciami aktivita 2.1.5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zisťovala mieru účasti zástupcov </w:t>
      </w:r>
      <w:r w:rsidR="00115CDF">
        <w:rPr>
          <w:rFonts w:ascii="Times New Roman" w:eastAsia="Times New Roman" w:hAnsi="Times New Roman"/>
          <w:sz w:val="24"/>
          <w:szCs w:val="24"/>
          <w:lang w:eastAsia="cs-CZ"/>
        </w:rPr>
        <w:t xml:space="preserve">stavovských organizácií a 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profesijných organizácií na maturitných, záverečných a absolventských skúškach.</w:t>
      </w:r>
    </w:p>
    <w:p w14:paraId="106804A3" w14:textId="77777777" w:rsidR="00892EA6" w:rsidRDefault="00892EA6" w:rsidP="00892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FD1F34" w14:textId="77777777" w:rsidR="009423D5" w:rsidRDefault="009423D5" w:rsidP="00892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30349DD" w14:textId="77777777" w:rsidR="00240056" w:rsidRPr="006A19FD" w:rsidRDefault="00240056" w:rsidP="00892E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499" w:type="dxa"/>
        <w:tblInd w:w="93" w:type="dxa"/>
        <w:tblLook w:val="04A0" w:firstRow="1" w:lastRow="0" w:firstColumn="1" w:lastColumn="0" w:noHBand="0" w:noVBand="1"/>
      </w:tblPr>
      <w:tblGrid>
        <w:gridCol w:w="2000"/>
        <w:gridCol w:w="1748"/>
        <w:gridCol w:w="1751"/>
      </w:tblGrid>
      <w:tr w:rsidR="002E5B53" w:rsidRPr="006A19FD" w14:paraId="78CF913B" w14:textId="189A2E01" w:rsidTr="002E5B53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7828" w14:textId="77777777" w:rsidR="002E5B53" w:rsidRPr="006A19FD" w:rsidRDefault="002E5B53" w:rsidP="006A19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b/>
                <w:bCs/>
                <w:lang w:eastAsia="cs-CZ"/>
              </w:rPr>
              <w:t> Tabuľka č. 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8F8C77" w14:textId="5F247525" w:rsidR="002E5B53" w:rsidRPr="006A19FD" w:rsidRDefault="002E5B53" w:rsidP="0099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0C957C" w14:textId="1446AF85" w:rsidR="002E5B53" w:rsidRPr="006A19FD" w:rsidRDefault="002E5B53" w:rsidP="0099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2E5B53" w:rsidRPr="006A19FD" w14:paraId="29A99279" w14:textId="6BD8D9D7" w:rsidTr="002E5B53">
        <w:trPr>
          <w:trHeight w:val="8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14:paraId="4E0386CF" w14:textId="1BD4664A" w:rsidR="002E5B53" w:rsidRPr="006A19FD" w:rsidRDefault="002E5B53" w:rsidP="0099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Názov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SaPO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521B06AF" w14:textId="58915002" w:rsidR="002E5B53" w:rsidRPr="006A19FD" w:rsidRDefault="002E5B53" w:rsidP="00344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Počet SOŠ, na ktorých sa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konali maturitné, záverečné, absolventské </w:t>
            </w:r>
            <w:r w:rsidRPr="006A19FD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skúšky</w:t>
            </w:r>
            <w:r w:rsidRPr="006A19F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cs-CZ"/>
              </w:rPr>
              <w:footnoteReference w:id="1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1DC40A9" w14:textId="58E189CD" w:rsidR="002E5B53" w:rsidRPr="006A19FD" w:rsidRDefault="002E5B53" w:rsidP="00991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Počet SOŠ, na ktorých sa zástupcovia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SaPO</w:t>
            </w:r>
            <w:r w:rsidRPr="006A19FD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zúčastnili na ukončovaní štúdia</w:t>
            </w:r>
          </w:p>
        </w:tc>
      </w:tr>
      <w:tr w:rsidR="002E5B53" w:rsidRPr="006A19FD" w14:paraId="64BE0A0D" w14:textId="12ABF7B9" w:rsidTr="002E5B53">
        <w:trPr>
          <w:trHeight w:val="5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9650831" w14:textId="77777777" w:rsidR="002E5B53" w:rsidRPr="006A19FD" w:rsidRDefault="002E5B53" w:rsidP="00991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AZZZ SR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F28C" w14:textId="382609BC" w:rsidR="002E5B53" w:rsidRPr="00991B3E" w:rsidRDefault="002E5B53" w:rsidP="009C0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vAlign w:val="bottom"/>
          </w:tcPr>
          <w:p w14:paraId="125BBF13" w14:textId="6C6FBEA3" w:rsidR="002E5B53" w:rsidRPr="00991B3E" w:rsidRDefault="002E5B53" w:rsidP="0034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</w:t>
            </w:r>
          </w:p>
        </w:tc>
      </w:tr>
      <w:tr w:rsidR="002E5B53" w:rsidRPr="006A19FD" w14:paraId="28D7ABE5" w14:textId="74AD3052" w:rsidTr="002E5B53">
        <w:trPr>
          <w:trHeight w:val="4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69947FDE" w14:textId="77777777" w:rsidR="002E5B53" w:rsidRPr="006A19FD" w:rsidRDefault="002E5B53" w:rsidP="00991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SPPK a SLK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4341" w14:textId="67338966" w:rsidR="002E5B53" w:rsidRPr="00991B3E" w:rsidRDefault="002E5B53" w:rsidP="0034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vAlign w:val="bottom"/>
          </w:tcPr>
          <w:p w14:paraId="2020E401" w14:textId="55BDE0F7" w:rsidR="002E5B53" w:rsidRPr="00991B3E" w:rsidRDefault="002E5B53" w:rsidP="0034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91B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</w:tr>
      <w:tr w:rsidR="002E5B53" w:rsidRPr="006A19FD" w14:paraId="63B7675E" w14:textId="50DC2731" w:rsidTr="002E5B53">
        <w:trPr>
          <w:trHeight w:val="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74EA2623" w14:textId="77777777" w:rsidR="002E5B53" w:rsidRPr="006A19FD" w:rsidRDefault="002E5B53" w:rsidP="00991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SOPK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739B" w14:textId="49AC11A0" w:rsidR="002E5B53" w:rsidRPr="00991B3E" w:rsidRDefault="002E5B53" w:rsidP="0034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vAlign w:val="bottom"/>
          </w:tcPr>
          <w:p w14:paraId="6167BC80" w14:textId="5E0660A0" w:rsidR="002E5B53" w:rsidRPr="00991B3E" w:rsidRDefault="002E5B53" w:rsidP="0034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109</w:t>
            </w:r>
          </w:p>
        </w:tc>
      </w:tr>
      <w:tr w:rsidR="002E5B53" w:rsidRPr="006A19FD" w14:paraId="0F9D4FC9" w14:textId="71C5CDB2" w:rsidTr="002E5B53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14:paraId="0E057E6F" w14:textId="2E356E24" w:rsidR="002E5B53" w:rsidRPr="006A19FD" w:rsidRDefault="002E5B53" w:rsidP="00991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SŽK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a SBK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26CCD" w14:textId="70DD9C2C" w:rsidR="002E5B53" w:rsidRPr="00991B3E" w:rsidRDefault="002E5B53" w:rsidP="00AC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vAlign w:val="bottom"/>
          </w:tcPr>
          <w:p w14:paraId="3DE4DA73" w14:textId="047F366A" w:rsidR="002E5B53" w:rsidRPr="00991B3E" w:rsidRDefault="002E5B53" w:rsidP="00AC0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22</w:t>
            </w:r>
          </w:p>
        </w:tc>
      </w:tr>
      <w:tr w:rsidR="002E5B53" w:rsidRPr="006A19FD" w14:paraId="717DC714" w14:textId="0331C258" w:rsidTr="002E5B53">
        <w:trPr>
          <w:trHeight w:val="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  <w:hideMark/>
          </w:tcPr>
          <w:p w14:paraId="210A9BFA" w14:textId="1D63DC34" w:rsidR="002E5B53" w:rsidRPr="006A19FD" w:rsidRDefault="002E5B53" w:rsidP="00991B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A1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RÚZ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37C9" w14:textId="1524739B" w:rsidR="002E5B53" w:rsidRPr="00991B3E" w:rsidRDefault="002E5B53" w:rsidP="0034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312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A"/>
            <w:vAlign w:val="bottom"/>
          </w:tcPr>
          <w:p w14:paraId="0CC80BEA" w14:textId="745C7D28" w:rsidR="002E5B53" w:rsidRPr="00991B3E" w:rsidRDefault="002E5B53" w:rsidP="00344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sk-SK"/>
              </w:rPr>
              <w:t>50</w:t>
            </w:r>
          </w:p>
        </w:tc>
      </w:tr>
    </w:tbl>
    <w:p w14:paraId="552AE7E8" w14:textId="77777777" w:rsidR="009423D5" w:rsidRDefault="009423D5" w:rsidP="00173E62">
      <w:pPr>
        <w:jc w:val="both"/>
        <w:rPr>
          <w:rFonts w:ascii="Times New Roman" w:hAnsi="Times New Roman"/>
          <w:sz w:val="24"/>
          <w:szCs w:val="24"/>
        </w:rPr>
      </w:pPr>
    </w:p>
    <w:p w14:paraId="4A8D6C65" w14:textId="2684E2F6" w:rsidR="00193F2A" w:rsidRPr="00173E62" w:rsidRDefault="00173E62" w:rsidP="00173E62">
      <w:pPr>
        <w:jc w:val="both"/>
        <w:rPr>
          <w:rFonts w:ascii="Times New Roman" w:hAnsi="Times New Roman"/>
          <w:sz w:val="24"/>
          <w:szCs w:val="24"/>
        </w:rPr>
      </w:pPr>
      <w:r w:rsidRPr="00173E62">
        <w:rPr>
          <w:rFonts w:ascii="Times New Roman" w:hAnsi="Times New Roman"/>
          <w:sz w:val="24"/>
          <w:szCs w:val="24"/>
        </w:rPr>
        <w:t xml:space="preserve">Účasť zástupcov </w:t>
      </w:r>
      <w:r>
        <w:rPr>
          <w:rFonts w:ascii="Times New Roman" w:hAnsi="Times New Roman"/>
          <w:sz w:val="24"/>
          <w:szCs w:val="24"/>
        </w:rPr>
        <w:t xml:space="preserve">stavovských </w:t>
      </w:r>
      <w:r w:rsidR="00115CDF">
        <w:rPr>
          <w:rFonts w:ascii="Times New Roman" w:hAnsi="Times New Roman"/>
          <w:sz w:val="24"/>
          <w:szCs w:val="24"/>
        </w:rPr>
        <w:t xml:space="preserve">organizácií </w:t>
      </w:r>
      <w:r>
        <w:rPr>
          <w:rFonts w:ascii="Times New Roman" w:hAnsi="Times New Roman"/>
          <w:sz w:val="24"/>
          <w:szCs w:val="24"/>
        </w:rPr>
        <w:t>a profesijných o</w:t>
      </w:r>
      <w:r w:rsidRPr="00173E62">
        <w:rPr>
          <w:rFonts w:ascii="Times New Roman" w:hAnsi="Times New Roman"/>
          <w:sz w:val="24"/>
          <w:szCs w:val="24"/>
        </w:rPr>
        <w:t>rganizácií (</w:t>
      </w:r>
      <w:r>
        <w:rPr>
          <w:rFonts w:ascii="Times New Roman" w:hAnsi="Times New Roman"/>
          <w:sz w:val="24"/>
          <w:szCs w:val="24"/>
        </w:rPr>
        <w:t>SaPO</w:t>
      </w:r>
      <w:r w:rsidRPr="00173E62">
        <w:rPr>
          <w:rFonts w:ascii="Times New Roman" w:hAnsi="Times New Roman"/>
          <w:sz w:val="24"/>
          <w:szCs w:val="24"/>
        </w:rPr>
        <w:t>) na maturitných skúškach (tabuľka č. 2):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1965"/>
        <w:gridCol w:w="1878"/>
        <w:gridCol w:w="2268"/>
      </w:tblGrid>
      <w:tr w:rsidR="002E5B53" w:rsidRPr="00173E62" w14:paraId="5A975026" w14:textId="77777777" w:rsidTr="002E5B53">
        <w:trPr>
          <w:trHeight w:val="28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2E6" w14:textId="77777777" w:rsidR="002E5B53" w:rsidRPr="00173E62" w:rsidRDefault="002E5B53" w:rsidP="006125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E62">
              <w:rPr>
                <w:rFonts w:ascii="Times New Roman" w:hAnsi="Times New Roman"/>
                <w:b/>
                <w:bCs/>
                <w:sz w:val="24"/>
                <w:szCs w:val="24"/>
              </w:rPr>
              <w:t> Tabuľka č. 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E8FE6E" w14:textId="61C6B1B8" w:rsidR="002E5B53" w:rsidRPr="00173E62" w:rsidRDefault="002E5B53" w:rsidP="00165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757283" w14:textId="02CD83BA" w:rsidR="002E5B53" w:rsidRPr="00173E62" w:rsidRDefault="002E5B53" w:rsidP="00612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5B53" w:rsidRPr="00B04F38" w14:paraId="4A00F5A6" w14:textId="77777777" w:rsidTr="002E5B53">
        <w:trPr>
          <w:trHeight w:val="1188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hideMark/>
          </w:tcPr>
          <w:p w14:paraId="79EAAED2" w14:textId="1FB3305E" w:rsidR="002E5B53" w:rsidRPr="00B04F38" w:rsidRDefault="002E5B53" w:rsidP="00173E62">
            <w:pPr>
              <w:jc w:val="center"/>
              <w:rPr>
                <w:rFonts w:ascii="Times New Roman" w:hAnsi="Times New Roman"/>
              </w:rPr>
            </w:pPr>
            <w:r w:rsidRPr="00B04F38">
              <w:rPr>
                <w:rFonts w:ascii="Times New Roman" w:hAnsi="Times New Roman"/>
              </w:rPr>
              <w:t>Názov SaPO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3B41B982" w14:textId="02C8794C" w:rsidR="002E5B53" w:rsidRPr="00B04F38" w:rsidRDefault="002E5B53" w:rsidP="00A23F9D">
            <w:pPr>
              <w:rPr>
                <w:rFonts w:ascii="Times New Roman" w:hAnsi="Times New Roman"/>
              </w:rPr>
            </w:pPr>
            <w:r w:rsidRPr="00B04F38">
              <w:rPr>
                <w:rFonts w:ascii="Times New Roman" w:hAnsi="Times New Roman"/>
              </w:rPr>
              <w:t>Počet maturitných skúšok na SOŠ 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63767695" w14:textId="494408DD" w:rsidR="002E5B53" w:rsidRPr="00B04F38" w:rsidRDefault="002E5B53" w:rsidP="00173E62">
            <w:pPr>
              <w:rPr>
                <w:rFonts w:ascii="Times New Roman" w:hAnsi="Times New Roman"/>
              </w:rPr>
            </w:pPr>
            <w:r w:rsidRPr="00B04F38">
              <w:rPr>
                <w:rFonts w:ascii="Times New Roman" w:hAnsi="Times New Roman"/>
              </w:rPr>
              <w:t xml:space="preserve">Počet maturitných skúšok, na ktorých sa zástupcovia SaPO zúčastnili </w:t>
            </w:r>
          </w:p>
        </w:tc>
      </w:tr>
      <w:tr w:rsidR="002E5B53" w:rsidRPr="00B04F38" w14:paraId="1CD91FCC" w14:textId="77777777" w:rsidTr="007E2506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DCC137" w14:textId="77777777" w:rsidR="002E5B53" w:rsidRPr="00B04F38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B04F38">
              <w:rPr>
                <w:rFonts w:ascii="Times New Roman" w:hAnsi="Times New Roman"/>
                <w:b/>
                <w:bCs/>
              </w:rPr>
              <w:t>AZZZ SR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21A4" w14:textId="3C9B399D" w:rsidR="002E5B53" w:rsidRPr="00A23F9D" w:rsidRDefault="007E2506" w:rsidP="009A3527">
            <w:pPr>
              <w:jc w:val="center"/>
              <w:rPr>
                <w:rFonts w:ascii="Times New Roman" w:hAnsi="Times New Roman"/>
                <w:color w:val="FF0000"/>
              </w:rPr>
            </w:pPr>
            <w:r w:rsidRPr="007E2506">
              <w:rPr>
                <w:rFonts w:ascii="Times New Roman" w:hAnsi="Times New Roman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4F12" w14:textId="79C28ECA" w:rsidR="002E5B53" w:rsidRPr="00B04F38" w:rsidRDefault="002E5B53" w:rsidP="00A23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</w:tr>
      <w:tr w:rsidR="002E5B53" w:rsidRPr="00B04F38" w14:paraId="41E94032" w14:textId="77777777" w:rsidTr="007E2506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0A58DAE" w14:textId="77777777" w:rsidR="002E5B53" w:rsidRPr="00B04F38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B04F38">
              <w:rPr>
                <w:rFonts w:ascii="Times New Roman" w:hAnsi="Times New Roman"/>
                <w:b/>
                <w:bCs/>
              </w:rPr>
              <w:t>SPPK a SLK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2B5E" w14:textId="1C3DC774" w:rsidR="002E5B53" w:rsidRPr="007E2506" w:rsidRDefault="007E2506" w:rsidP="00612556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A935" w14:textId="44892AF5" w:rsidR="002E5B53" w:rsidRPr="00B04F38" w:rsidRDefault="002E5B53" w:rsidP="00A23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5B53" w:rsidRPr="00B04F38" w14:paraId="56DA694E" w14:textId="77777777" w:rsidTr="007E2506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509F46" w14:textId="77777777" w:rsidR="002E5B53" w:rsidRPr="00B04F38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B04F38">
              <w:rPr>
                <w:rFonts w:ascii="Times New Roman" w:hAnsi="Times New Roman"/>
                <w:b/>
                <w:bCs/>
              </w:rPr>
              <w:t>SOPK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B037E" w14:textId="789A6F9E" w:rsidR="002E5B53" w:rsidRPr="007E2506" w:rsidRDefault="007E2506" w:rsidP="009A3527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7E2506">
              <w:rPr>
                <w:rFonts w:ascii="Times New Roman" w:hAnsi="Times New Roman"/>
              </w:rPr>
              <w:t>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C20D" w14:textId="3D363ECF" w:rsidR="002E5B53" w:rsidRPr="00B04F38" w:rsidRDefault="002E5B53" w:rsidP="002E5B53">
            <w:pPr>
              <w:jc w:val="center"/>
              <w:rPr>
                <w:rFonts w:ascii="Times New Roman" w:hAnsi="Times New Roman"/>
              </w:rPr>
            </w:pPr>
            <w:r w:rsidRPr="00B04F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2E5B53" w:rsidRPr="00B04F38" w14:paraId="0AACE03C" w14:textId="77777777" w:rsidTr="007E2506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074FEA" w14:textId="77777777" w:rsidR="002E5B53" w:rsidRPr="00B04F38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B04F38">
              <w:rPr>
                <w:rFonts w:ascii="Times New Roman" w:hAnsi="Times New Roman"/>
                <w:b/>
                <w:bCs/>
              </w:rPr>
              <w:t>SŽK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BE25" w14:textId="313155D1" w:rsidR="002E5B53" w:rsidRPr="007E2506" w:rsidRDefault="007E2506" w:rsidP="009A3527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47C4" w14:textId="7D2FA4A7" w:rsidR="002E5B53" w:rsidRPr="00B04F38" w:rsidRDefault="002E5B53" w:rsidP="00173E62">
            <w:pPr>
              <w:jc w:val="center"/>
              <w:rPr>
                <w:rFonts w:ascii="Times New Roman" w:hAnsi="Times New Roman"/>
              </w:rPr>
            </w:pPr>
            <w:r w:rsidRPr="00B04F38">
              <w:rPr>
                <w:rFonts w:ascii="Times New Roman" w:hAnsi="Times New Roman"/>
              </w:rPr>
              <w:t>0</w:t>
            </w:r>
          </w:p>
        </w:tc>
      </w:tr>
      <w:tr w:rsidR="002E5B53" w:rsidRPr="00B04F38" w14:paraId="51A604C3" w14:textId="77777777" w:rsidTr="007E2506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2313E6" w14:textId="77777777" w:rsidR="002E5B53" w:rsidRPr="00B04F38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B04F38">
              <w:rPr>
                <w:rFonts w:ascii="Times New Roman" w:hAnsi="Times New Roman"/>
                <w:b/>
                <w:bCs/>
              </w:rPr>
              <w:t>RÚZ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1793" w14:textId="4CB6020D" w:rsidR="002E5B53" w:rsidRPr="007E2506" w:rsidRDefault="007E2506" w:rsidP="009A3527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12 412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4502" w14:textId="438D3DBB" w:rsidR="002E5B53" w:rsidRPr="00B04F38" w:rsidRDefault="002E5B53" w:rsidP="002E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14:paraId="4FB32450" w14:textId="77777777" w:rsidR="00115CDF" w:rsidRDefault="00115CDF" w:rsidP="00173E62">
      <w:pPr>
        <w:jc w:val="both"/>
        <w:rPr>
          <w:rFonts w:ascii="Times New Roman" w:hAnsi="Times New Roman"/>
          <w:sz w:val="24"/>
          <w:szCs w:val="24"/>
        </w:rPr>
      </w:pPr>
    </w:p>
    <w:p w14:paraId="5303BF4C" w14:textId="77777777" w:rsidR="00115CDF" w:rsidRDefault="00115CDF" w:rsidP="00173E62">
      <w:pPr>
        <w:jc w:val="both"/>
        <w:rPr>
          <w:rFonts w:ascii="Times New Roman" w:hAnsi="Times New Roman"/>
          <w:sz w:val="24"/>
          <w:szCs w:val="24"/>
        </w:rPr>
      </w:pPr>
    </w:p>
    <w:p w14:paraId="228F5582" w14:textId="71226615" w:rsidR="00991B3E" w:rsidRPr="00173E62" w:rsidRDefault="00173E62" w:rsidP="00173E62">
      <w:pPr>
        <w:jc w:val="both"/>
        <w:rPr>
          <w:rFonts w:ascii="Times New Roman" w:hAnsi="Times New Roman"/>
          <w:sz w:val="24"/>
          <w:szCs w:val="24"/>
        </w:rPr>
      </w:pPr>
      <w:r w:rsidRPr="00173E62">
        <w:rPr>
          <w:rFonts w:ascii="Times New Roman" w:hAnsi="Times New Roman"/>
          <w:sz w:val="24"/>
          <w:szCs w:val="24"/>
        </w:rPr>
        <w:t>Účasť zástupcov</w:t>
      </w:r>
      <w:r>
        <w:rPr>
          <w:rFonts w:ascii="Times New Roman" w:hAnsi="Times New Roman"/>
          <w:sz w:val="24"/>
          <w:szCs w:val="24"/>
        </w:rPr>
        <w:t xml:space="preserve"> stavovských a </w:t>
      </w:r>
      <w:r w:rsidRPr="00173E62">
        <w:rPr>
          <w:rFonts w:ascii="Times New Roman" w:hAnsi="Times New Roman"/>
          <w:sz w:val="24"/>
          <w:szCs w:val="24"/>
        </w:rPr>
        <w:t>profesijných organizácií (</w:t>
      </w:r>
      <w:r>
        <w:rPr>
          <w:rFonts w:ascii="Times New Roman" w:hAnsi="Times New Roman"/>
          <w:sz w:val="24"/>
          <w:szCs w:val="24"/>
        </w:rPr>
        <w:t>SaPO</w:t>
      </w:r>
      <w:r w:rsidRPr="00173E62">
        <w:rPr>
          <w:rFonts w:ascii="Times New Roman" w:hAnsi="Times New Roman"/>
          <w:sz w:val="24"/>
          <w:szCs w:val="24"/>
        </w:rPr>
        <w:t>) na záverečných skúškach (tabuľka č. 3):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1964"/>
        <w:gridCol w:w="1879"/>
        <w:gridCol w:w="2268"/>
      </w:tblGrid>
      <w:tr w:rsidR="002E5B53" w:rsidRPr="009F1C33" w14:paraId="2109E1D5" w14:textId="77777777" w:rsidTr="002E5B53">
        <w:trPr>
          <w:trHeight w:val="28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CC7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 Tabuľka č. 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4FF73B" w14:textId="03420524" w:rsidR="002E5B53" w:rsidRPr="009F1C33" w:rsidRDefault="002E5B53" w:rsidP="00612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CC8394" w14:textId="2A134402" w:rsidR="002E5B53" w:rsidRPr="009F1C33" w:rsidRDefault="002E5B53" w:rsidP="00612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5B53" w:rsidRPr="009F1C33" w14:paraId="1629BC3C" w14:textId="77777777" w:rsidTr="002E5B53">
        <w:trPr>
          <w:trHeight w:val="1049"/>
        </w:trPr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hideMark/>
          </w:tcPr>
          <w:p w14:paraId="13297808" w14:textId="6CECC387" w:rsidR="002E5B53" w:rsidRPr="009F1C33" w:rsidRDefault="002E5B53" w:rsidP="00173E62">
            <w:pPr>
              <w:jc w:val="center"/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Názov SaPO</w:t>
            </w: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38EE819B" w14:textId="5FE200FE" w:rsidR="002E5B53" w:rsidRPr="009F1C33" w:rsidRDefault="002E5B53" w:rsidP="00A23F9D">
            <w:pPr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Počet záverečných skúšok na SOŠ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30EEE1B7" w14:textId="6C1FA19A" w:rsidR="002E5B53" w:rsidRPr="009F1C33" w:rsidRDefault="002E5B53" w:rsidP="00173E62">
            <w:pPr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 xml:space="preserve">Počet záverečných skúšok, na ktorých sa zástupcovia SaPO </w:t>
            </w:r>
          </w:p>
        </w:tc>
      </w:tr>
      <w:tr w:rsidR="002E5B53" w:rsidRPr="009F1C33" w14:paraId="5C578970" w14:textId="77777777" w:rsidTr="002E5B5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A271792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 xml:space="preserve">AZZZ SR </w:t>
            </w: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2AB6" w14:textId="0C5802F9" w:rsidR="002E5B53" w:rsidRPr="007E2506" w:rsidRDefault="002E5B53" w:rsidP="00316426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4674" w14:textId="5C9B8D58" w:rsidR="002E5B53" w:rsidRPr="009F1C33" w:rsidRDefault="002E5B53" w:rsidP="00EC1F78">
            <w:pPr>
              <w:jc w:val="center"/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0</w:t>
            </w:r>
          </w:p>
        </w:tc>
      </w:tr>
      <w:tr w:rsidR="002E5B53" w:rsidRPr="009F1C33" w14:paraId="38CF2DA2" w14:textId="77777777" w:rsidTr="002E5B5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4072D8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SPPK a SLK</w:t>
            </w: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8430" w14:textId="049CA5D4" w:rsidR="002E5B53" w:rsidRPr="007E2506" w:rsidRDefault="007E2506" w:rsidP="007E2506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F65D" w14:textId="58A566D0" w:rsidR="002E5B53" w:rsidRPr="009F1C33" w:rsidRDefault="002E5B53" w:rsidP="00A23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2E5B53" w:rsidRPr="009F1C33" w14:paraId="538A27E6" w14:textId="77777777" w:rsidTr="002E5B5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F166801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lastRenderedPageBreak/>
              <w:t>SOPK</w:t>
            </w: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EB7F" w14:textId="51C11DA0" w:rsidR="002E5B53" w:rsidRPr="007E2506" w:rsidRDefault="002E5B53" w:rsidP="007E2506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2</w:t>
            </w:r>
            <w:r w:rsidR="007E2506" w:rsidRPr="007E2506">
              <w:rPr>
                <w:rFonts w:ascii="Times New Roman" w:hAnsi="Times New Roman"/>
              </w:rPr>
              <w:t xml:space="preserve">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27CD" w14:textId="3E39C736" w:rsidR="002E5B53" w:rsidRPr="009F1C33" w:rsidRDefault="002E5B53" w:rsidP="002E5B53">
            <w:pPr>
              <w:jc w:val="center"/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66</w:t>
            </w:r>
          </w:p>
        </w:tc>
      </w:tr>
      <w:tr w:rsidR="002E5B53" w:rsidRPr="009F1C33" w14:paraId="0B5661C6" w14:textId="77777777" w:rsidTr="002E5B53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040387C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SŽK</w:t>
            </w: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DF29" w14:textId="40D01F80" w:rsidR="002E5B53" w:rsidRPr="007E2506" w:rsidRDefault="002E5B53" w:rsidP="007E2506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2</w:t>
            </w:r>
            <w:r w:rsidR="007E2506" w:rsidRPr="007E250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1A4F" w14:textId="14DCA027" w:rsidR="002E5B53" w:rsidRPr="009F1C33" w:rsidRDefault="007E2506" w:rsidP="007E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2E5B53" w:rsidRPr="009F1C33" w14:paraId="16546A7F" w14:textId="77777777" w:rsidTr="002E5B53">
        <w:trPr>
          <w:trHeight w:val="33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BF1A686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RÚZ</w:t>
            </w: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21FE" w14:textId="6459528F" w:rsidR="002E5B53" w:rsidRPr="007E2506" w:rsidRDefault="007E2506" w:rsidP="007E2506">
            <w:pPr>
              <w:jc w:val="center"/>
              <w:rPr>
                <w:rFonts w:ascii="Times New Roman" w:hAnsi="Times New Roman"/>
              </w:rPr>
            </w:pPr>
            <w:r w:rsidRPr="007E2506">
              <w:rPr>
                <w:rFonts w:ascii="Times New Roman" w:hAnsi="Times New Roman"/>
              </w:rPr>
              <w:t>4 216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F9C4" w14:textId="762FC96F" w:rsidR="002E5B53" w:rsidRPr="009F1C33" w:rsidRDefault="002E5B53" w:rsidP="002E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14:paraId="1DBF8D26" w14:textId="77777777" w:rsidR="00173E62" w:rsidRPr="009F1C33" w:rsidRDefault="00173E62" w:rsidP="00173E62">
      <w:pPr>
        <w:jc w:val="both"/>
        <w:rPr>
          <w:rFonts w:ascii="Times New Roman" w:hAnsi="Times New Roman"/>
        </w:rPr>
      </w:pPr>
    </w:p>
    <w:p w14:paraId="58969AC2" w14:textId="77777777" w:rsidR="00173E62" w:rsidRPr="00173E62" w:rsidRDefault="00173E62" w:rsidP="00173E62">
      <w:pPr>
        <w:jc w:val="both"/>
        <w:rPr>
          <w:rFonts w:ascii="Times New Roman" w:hAnsi="Times New Roman"/>
          <w:sz w:val="24"/>
          <w:szCs w:val="24"/>
        </w:rPr>
      </w:pPr>
    </w:p>
    <w:p w14:paraId="57BC8A8B" w14:textId="51CEAED5" w:rsidR="00173E62" w:rsidRPr="00173E62" w:rsidRDefault="00173E62" w:rsidP="00173E62">
      <w:pPr>
        <w:jc w:val="both"/>
        <w:rPr>
          <w:rFonts w:ascii="Times New Roman" w:hAnsi="Times New Roman"/>
          <w:sz w:val="24"/>
          <w:szCs w:val="24"/>
        </w:rPr>
      </w:pPr>
      <w:r w:rsidRPr="00173E62">
        <w:rPr>
          <w:rFonts w:ascii="Times New Roman" w:hAnsi="Times New Roman"/>
          <w:sz w:val="24"/>
          <w:szCs w:val="24"/>
        </w:rPr>
        <w:t xml:space="preserve">Účasť zástupcov </w:t>
      </w:r>
      <w:r>
        <w:rPr>
          <w:rFonts w:ascii="Times New Roman" w:hAnsi="Times New Roman"/>
          <w:sz w:val="24"/>
          <w:szCs w:val="24"/>
        </w:rPr>
        <w:t>stavovských a profesijných</w:t>
      </w:r>
      <w:r w:rsidRPr="00173E62">
        <w:rPr>
          <w:rFonts w:ascii="Times New Roman" w:hAnsi="Times New Roman"/>
          <w:sz w:val="24"/>
          <w:szCs w:val="24"/>
        </w:rPr>
        <w:t xml:space="preserve"> organizácií (</w:t>
      </w:r>
      <w:r>
        <w:rPr>
          <w:rFonts w:ascii="Times New Roman" w:hAnsi="Times New Roman"/>
          <w:sz w:val="24"/>
          <w:szCs w:val="24"/>
        </w:rPr>
        <w:t>Sa</w:t>
      </w:r>
      <w:r w:rsidRPr="00173E6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 w:rsidRPr="00173E62">
        <w:rPr>
          <w:rFonts w:ascii="Times New Roman" w:hAnsi="Times New Roman"/>
          <w:sz w:val="24"/>
          <w:szCs w:val="24"/>
        </w:rPr>
        <w:t>) na absolventských skúškach (tabuľka č. 4):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1966"/>
        <w:gridCol w:w="1877"/>
        <w:gridCol w:w="2268"/>
      </w:tblGrid>
      <w:tr w:rsidR="002E5B53" w:rsidRPr="009F1C33" w14:paraId="7D42B8ED" w14:textId="77777777" w:rsidTr="002E5B53">
        <w:trPr>
          <w:trHeight w:val="28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979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 Tabuľka č. 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72F524" w14:textId="1271A7D9" w:rsidR="002E5B53" w:rsidRPr="009F1C33" w:rsidRDefault="002E5B53" w:rsidP="00612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331510" w14:textId="787B280D" w:rsidR="002E5B53" w:rsidRPr="009F1C33" w:rsidRDefault="002E5B53" w:rsidP="006125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5B53" w:rsidRPr="009F1C33" w14:paraId="21461D26" w14:textId="77777777" w:rsidTr="002E5B53">
        <w:trPr>
          <w:trHeight w:val="1103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hideMark/>
          </w:tcPr>
          <w:p w14:paraId="03BD5782" w14:textId="771B0871" w:rsidR="002E5B53" w:rsidRPr="009F1C33" w:rsidRDefault="002E5B53" w:rsidP="00173E62">
            <w:pPr>
              <w:jc w:val="center"/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Názov SaPO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11D2D000" w14:textId="7C4D0CCE" w:rsidR="002E5B53" w:rsidRPr="009F1C33" w:rsidRDefault="002E5B53" w:rsidP="00A23F9D">
            <w:pPr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Počet absolventských skúšok na SOŠ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5F824533" w14:textId="6E8B3304" w:rsidR="002E5B53" w:rsidRPr="009F1C33" w:rsidRDefault="002E5B53" w:rsidP="00173E62">
            <w:pPr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 xml:space="preserve">Počet absolventských skúšok, na ktorých sa zástupcovia SaPO zúčastnili </w:t>
            </w:r>
          </w:p>
        </w:tc>
      </w:tr>
      <w:tr w:rsidR="002E5B53" w:rsidRPr="009F1C33" w14:paraId="67DAE5A5" w14:textId="77777777" w:rsidTr="002E5B53">
        <w:trPr>
          <w:trHeight w:val="31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9D911A6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 xml:space="preserve">AZZZ SR 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D4CA" w14:textId="57D92D19" w:rsidR="002E5B53" w:rsidRPr="0067005A" w:rsidRDefault="0067005A" w:rsidP="00316426">
            <w:pPr>
              <w:jc w:val="center"/>
              <w:rPr>
                <w:rFonts w:ascii="Times New Roman" w:hAnsi="Times New Roman"/>
              </w:rPr>
            </w:pPr>
            <w:r w:rsidRPr="0067005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07CC" w14:textId="5BCB912D" w:rsidR="002E5B53" w:rsidRPr="009F1C33" w:rsidRDefault="002E5B53" w:rsidP="00A23F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B53" w:rsidRPr="009F1C33" w14:paraId="32DE6E4D" w14:textId="77777777" w:rsidTr="002E5B53">
        <w:trPr>
          <w:trHeight w:val="31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3A8C980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SPPK a SLK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162F" w14:textId="03A129A4" w:rsidR="002E5B53" w:rsidRPr="0067005A" w:rsidRDefault="0067005A" w:rsidP="0067005A">
            <w:pPr>
              <w:jc w:val="center"/>
              <w:rPr>
                <w:rFonts w:ascii="Times New Roman" w:hAnsi="Times New Roman"/>
              </w:rPr>
            </w:pPr>
            <w:r w:rsidRPr="0067005A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C503" w14:textId="77777777" w:rsidR="002E5B53" w:rsidRPr="009F1C33" w:rsidRDefault="002E5B53" w:rsidP="00612556">
            <w:pPr>
              <w:jc w:val="center"/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0</w:t>
            </w:r>
          </w:p>
        </w:tc>
      </w:tr>
      <w:tr w:rsidR="002E5B53" w:rsidRPr="009F1C33" w14:paraId="6A72BF30" w14:textId="77777777" w:rsidTr="002E5B53">
        <w:trPr>
          <w:trHeight w:val="31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3A5924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SOPK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7366" w14:textId="4C072D15" w:rsidR="002E5B53" w:rsidRPr="0067005A" w:rsidRDefault="0067005A" w:rsidP="0067005A">
            <w:pPr>
              <w:jc w:val="center"/>
              <w:rPr>
                <w:rFonts w:ascii="Times New Roman" w:hAnsi="Times New Roman"/>
              </w:rPr>
            </w:pPr>
            <w:r w:rsidRPr="0067005A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E82C" w14:textId="09552B5A" w:rsidR="002E5B53" w:rsidRPr="009F1C33" w:rsidRDefault="002E5B53" w:rsidP="002E5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5B53" w:rsidRPr="009F1C33" w14:paraId="700BA064" w14:textId="77777777" w:rsidTr="002E5B53">
        <w:trPr>
          <w:trHeight w:val="315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4847019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SŽK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2290" w14:textId="15873009" w:rsidR="002E5B53" w:rsidRPr="0067005A" w:rsidRDefault="0067005A" w:rsidP="0067005A">
            <w:pPr>
              <w:jc w:val="center"/>
              <w:rPr>
                <w:rFonts w:ascii="Times New Roman" w:hAnsi="Times New Roman"/>
              </w:rPr>
            </w:pPr>
            <w:r w:rsidRPr="0067005A">
              <w:rPr>
                <w:rFonts w:ascii="Times New Roman" w:hAnsi="Times New Roman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999F" w14:textId="77777777" w:rsidR="002E5B53" w:rsidRPr="009F1C33" w:rsidRDefault="002E5B53" w:rsidP="00612556">
            <w:pPr>
              <w:jc w:val="center"/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0</w:t>
            </w:r>
          </w:p>
        </w:tc>
      </w:tr>
      <w:tr w:rsidR="002E5B53" w:rsidRPr="009F1C33" w14:paraId="43397890" w14:textId="77777777" w:rsidTr="002E5B53">
        <w:trPr>
          <w:trHeight w:val="330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9150E73" w14:textId="77777777" w:rsidR="002E5B53" w:rsidRPr="009F1C33" w:rsidRDefault="002E5B53" w:rsidP="00612556">
            <w:pPr>
              <w:rPr>
                <w:rFonts w:ascii="Times New Roman" w:hAnsi="Times New Roman"/>
                <w:b/>
                <w:bCs/>
              </w:rPr>
            </w:pPr>
            <w:r w:rsidRPr="009F1C33">
              <w:rPr>
                <w:rFonts w:ascii="Times New Roman" w:hAnsi="Times New Roman"/>
                <w:b/>
                <w:bCs/>
              </w:rPr>
              <w:t>RÚZ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F778" w14:textId="130E102A" w:rsidR="002E5B53" w:rsidRPr="0067005A" w:rsidRDefault="0067005A" w:rsidP="0067005A">
            <w:pPr>
              <w:jc w:val="center"/>
              <w:rPr>
                <w:rFonts w:ascii="Times New Roman" w:hAnsi="Times New Roman"/>
              </w:rPr>
            </w:pPr>
            <w:r w:rsidRPr="0067005A">
              <w:rPr>
                <w:rFonts w:ascii="Times New Roman" w:hAnsi="Times New Roman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7816" w14:textId="77777777" w:rsidR="002E5B53" w:rsidRPr="009F1C33" w:rsidRDefault="002E5B53" w:rsidP="00612556">
            <w:pPr>
              <w:jc w:val="center"/>
              <w:rPr>
                <w:rFonts w:ascii="Times New Roman" w:hAnsi="Times New Roman"/>
              </w:rPr>
            </w:pPr>
            <w:r w:rsidRPr="009F1C33">
              <w:rPr>
                <w:rFonts w:ascii="Times New Roman" w:hAnsi="Times New Roman"/>
              </w:rPr>
              <w:t>0</w:t>
            </w:r>
          </w:p>
        </w:tc>
      </w:tr>
    </w:tbl>
    <w:p w14:paraId="0ED30AE0" w14:textId="77777777" w:rsidR="00173E62" w:rsidRPr="009F1C33" w:rsidRDefault="00173E62" w:rsidP="00173E62">
      <w:pPr>
        <w:jc w:val="both"/>
        <w:rPr>
          <w:rFonts w:ascii="Times New Roman" w:hAnsi="Times New Roman"/>
        </w:rPr>
      </w:pPr>
    </w:p>
    <w:p w14:paraId="440B05C9" w14:textId="522DD83D" w:rsidR="00173E62" w:rsidRPr="00173E62" w:rsidRDefault="00173E62" w:rsidP="00173E62">
      <w:pPr>
        <w:jc w:val="both"/>
        <w:rPr>
          <w:rFonts w:ascii="Times New Roman" w:hAnsi="Times New Roman"/>
          <w:sz w:val="24"/>
          <w:szCs w:val="24"/>
        </w:rPr>
      </w:pPr>
      <w:r w:rsidRPr="00173E62">
        <w:rPr>
          <w:rFonts w:ascii="Times New Roman" w:hAnsi="Times New Roman"/>
          <w:sz w:val="24"/>
          <w:szCs w:val="24"/>
        </w:rPr>
        <w:t>Celkový počet maturitných skúšok, záverečných skúšok a absolventských skúšok za školský rok 201</w:t>
      </w:r>
      <w:r w:rsidR="00376993">
        <w:rPr>
          <w:rFonts w:ascii="Times New Roman" w:hAnsi="Times New Roman"/>
          <w:sz w:val="24"/>
          <w:szCs w:val="24"/>
        </w:rPr>
        <w:t>4</w:t>
      </w:r>
      <w:r w:rsidRPr="00173E62">
        <w:rPr>
          <w:rFonts w:ascii="Times New Roman" w:hAnsi="Times New Roman"/>
          <w:sz w:val="24"/>
          <w:szCs w:val="24"/>
        </w:rPr>
        <w:t>/201</w:t>
      </w:r>
      <w:r w:rsidR="00376993">
        <w:rPr>
          <w:rFonts w:ascii="Times New Roman" w:hAnsi="Times New Roman"/>
          <w:sz w:val="24"/>
          <w:szCs w:val="24"/>
        </w:rPr>
        <w:t>5</w:t>
      </w:r>
      <w:r w:rsidRPr="00173E62">
        <w:rPr>
          <w:rFonts w:ascii="Times New Roman" w:hAnsi="Times New Roman"/>
          <w:sz w:val="24"/>
          <w:szCs w:val="24"/>
        </w:rPr>
        <w:t xml:space="preserve"> bol definovaný na základe počtu absolventov v školskom roku 201</w:t>
      </w:r>
      <w:r w:rsidR="00376993">
        <w:rPr>
          <w:rFonts w:ascii="Times New Roman" w:hAnsi="Times New Roman"/>
          <w:sz w:val="24"/>
          <w:szCs w:val="24"/>
        </w:rPr>
        <w:t>4</w:t>
      </w:r>
      <w:r w:rsidRPr="00173E62">
        <w:rPr>
          <w:rFonts w:ascii="Times New Roman" w:hAnsi="Times New Roman"/>
          <w:sz w:val="24"/>
          <w:szCs w:val="24"/>
        </w:rPr>
        <w:t>/201</w:t>
      </w:r>
      <w:r w:rsidR="00376993">
        <w:rPr>
          <w:rFonts w:ascii="Times New Roman" w:hAnsi="Times New Roman"/>
          <w:sz w:val="24"/>
          <w:szCs w:val="24"/>
        </w:rPr>
        <w:t>5</w:t>
      </w:r>
      <w:r w:rsidRPr="00173E62">
        <w:rPr>
          <w:rFonts w:ascii="Times New Roman" w:hAnsi="Times New Roman"/>
          <w:sz w:val="24"/>
          <w:szCs w:val="24"/>
        </w:rPr>
        <w:t>.</w:t>
      </w:r>
    </w:p>
    <w:p w14:paraId="6F0F8BFD" w14:textId="23B41B50" w:rsidR="006A19FD" w:rsidRDefault="006A19FD" w:rsidP="001E008D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cs-CZ"/>
        </w:rPr>
      </w:pP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Slovenská lesnícka komora úzko spolupracuje so Slovenskou poľnohospodárskou a potravinárskou komorou vzhľadom na skutočnosť, že odbory s lesníckym zameraním patria do skupiny študijných a učebných odborov č. 42 Poľnohospodárstvo a lesné hospodárstvo a rozvoj vidieka I a  č. 45 Poľnohospodárstvo a lesné hospodárstvo a rozvoj vidieka II. Ob</w:t>
      </w:r>
      <w:r w:rsidR="002A309E">
        <w:rPr>
          <w:rFonts w:ascii="Times New Roman" w:eastAsia="Times New Roman" w:hAnsi="Times New Roman"/>
          <w:sz w:val="24"/>
          <w:szCs w:val="24"/>
          <w:lang w:eastAsia="cs-CZ"/>
        </w:rPr>
        <w:t>idve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skupiny odborov patria, do vecnej pôsobnosti Slovenskej poľnohospodárskej a potravinárskej komory v spolupráci so Slovenskou lesníckou komorou. Slovenská poľnohospodárska a potravinárska komora vypracovala jednu spoločnú súhrnnú správu o účasti svojich zástupcov na ukončení štúdia na stredných odborných školách za všetky skupiny odborov, ktoré má vo svojej vecnej pôsobnosti.</w:t>
      </w:r>
      <w:r w:rsidRPr="006A19FD">
        <w:rPr>
          <w:rFonts w:ascii="Times New Roman" w:eastAsia="Times New Roman" w:hAnsi="Times New Roman"/>
          <w:strike/>
          <w:sz w:val="24"/>
          <w:szCs w:val="24"/>
          <w:lang w:eastAsia="cs-CZ"/>
        </w:rPr>
        <w:t xml:space="preserve"> </w:t>
      </w:r>
    </w:p>
    <w:p w14:paraId="33D51D58" w14:textId="77777777" w:rsidR="00407E60" w:rsidRDefault="00407E60" w:rsidP="006A19FD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cs-CZ"/>
        </w:rPr>
      </w:pPr>
    </w:p>
    <w:p w14:paraId="6C4D78A5" w14:textId="19C04CA7" w:rsidR="00C6294E" w:rsidRPr="006A19FD" w:rsidRDefault="00407E60" w:rsidP="001E0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Republiková únia zamestnávateľov uvádza, že v kvantitatívnych ukazovateľoch </w:t>
      </w:r>
      <w:r w:rsidR="00C6294E">
        <w:rPr>
          <w:rFonts w:ascii="Times New Roman" w:eastAsia="Times New Roman" w:hAnsi="Times New Roman"/>
          <w:sz w:val="24"/>
          <w:szCs w:val="24"/>
          <w:lang w:eastAsia="cs-CZ"/>
        </w:rPr>
        <w:t xml:space="preserve">o účasti na ukončovaní štúdia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sú</w:t>
      </w:r>
      <w:r w:rsidR="00C6294E">
        <w:rPr>
          <w:rFonts w:ascii="Times New Roman" w:eastAsia="Times New Roman" w:hAnsi="Times New Roman"/>
          <w:sz w:val="24"/>
          <w:szCs w:val="24"/>
          <w:lang w:eastAsia="cs-CZ"/>
        </w:rPr>
        <w:t xml:space="preserve"> zahrnutí len zástupcovia, ktorých sama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delegovala</w:t>
      </w:r>
      <w:r w:rsidR="00C6294E">
        <w:rPr>
          <w:rFonts w:ascii="Times New Roman" w:eastAsia="Times New Roman" w:hAnsi="Times New Roman"/>
          <w:sz w:val="24"/>
          <w:szCs w:val="24"/>
          <w:lang w:eastAsia="cs-CZ"/>
        </w:rPr>
        <w:t xml:space="preserve">. Do skúšobných </w:t>
      </w:r>
      <w:r w:rsidR="00C6294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komisií pre záverečné skúšky a maturitné skúšky pre odbory, ktoré vecne spadajú pod Republikovú úniu zamestnávateľov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delegovala</w:t>
      </w:r>
      <w:r w:rsidR="00C6294E">
        <w:rPr>
          <w:rFonts w:ascii="Times New Roman" w:eastAsia="Times New Roman" w:hAnsi="Times New Roman"/>
          <w:sz w:val="24"/>
          <w:szCs w:val="24"/>
          <w:lang w:eastAsia="cs-CZ"/>
        </w:rPr>
        <w:t xml:space="preserve"> po vzájomnej dohode svojich zástupcov aj ostatné stavovské a profesijné organizácie (SOPK, SŽK), </w:t>
      </w:r>
      <w:r w:rsidR="002E5B53">
        <w:rPr>
          <w:rFonts w:ascii="Times New Roman" w:eastAsia="Times New Roman" w:hAnsi="Times New Roman"/>
          <w:sz w:val="24"/>
          <w:szCs w:val="24"/>
          <w:lang w:eastAsia="cs-CZ"/>
        </w:rPr>
        <w:t>prípadne členské zväzy R</w:t>
      </w:r>
      <w:r w:rsidR="00673730">
        <w:rPr>
          <w:rFonts w:ascii="Times New Roman" w:eastAsia="Times New Roman" w:hAnsi="Times New Roman"/>
          <w:sz w:val="24"/>
          <w:szCs w:val="24"/>
          <w:lang w:eastAsia="cs-CZ"/>
        </w:rPr>
        <w:t xml:space="preserve">ÚZ (ZSD SR), </w:t>
      </w:r>
      <w:r w:rsidR="00C6294E">
        <w:rPr>
          <w:rFonts w:ascii="Times New Roman" w:eastAsia="Times New Roman" w:hAnsi="Times New Roman"/>
          <w:sz w:val="24"/>
          <w:szCs w:val="24"/>
          <w:lang w:eastAsia="cs-CZ"/>
        </w:rPr>
        <w:t>ktorí sú v tejto správe nie zahrnutí.</w:t>
      </w:r>
      <w:r w:rsidR="00C6294E"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1E3C418" w14:textId="720CD61B" w:rsidR="00C6294E" w:rsidRDefault="00C6294E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A4B9F" w14:textId="7C2CAA56" w:rsidR="006A19FD" w:rsidRPr="006A19FD" w:rsidRDefault="00C6294E" w:rsidP="001E0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cs-CZ"/>
        </w:rPr>
        <w:t>apriek</w:t>
      </w:r>
      <w:r w:rsidR="00B27207">
        <w:rPr>
          <w:rFonts w:ascii="Times New Roman" w:eastAsia="Times New Roman" w:hAnsi="Times New Roman"/>
          <w:sz w:val="24"/>
          <w:szCs w:val="24"/>
          <w:lang w:eastAsia="cs-CZ"/>
        </w:rPr>
        <w:t xml:space="preserve"> predloženým 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cs-CZ"/>
        </w:rPr>
        <w:t>neúplným údajom je z tabuľky č. 1 zrejmé, že účasť zástupcov profesijných a stavovských organizácií na ukončovaní štúdia bol</w:t>
      </w:r>
      <w:r w:rsidR="00B27207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v školskom roku 201</w:t>
      </w:r>
      <w:r w:rsidR="00376A8C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cs-CZ"/>
        </w:rPr>
        <w:t>/201</w:t>
      </w:r>
      <w:r w:rsidR="00376A8C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veľmi nízk</w:t>
      </w:r>
      <w:r w:rsidR="00B27207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, čo znevýhodňuje vyhodnocovanie získaných údajov klasickými štatistickými metódami. </w:t>
      </w:r>
    </w:p>
    <w:p w14:paraId="52D4125D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588488" w14:textId="77777777" w:rsidR="0063682B" w:rsidRPr="007B6BB9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7B6BB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Účasť zástupcov profesijných alebo stavovských organizácií na záverečných skúškach</w:t>
      </w:r>
    </w:p>
    <w:p w14:paraId="60E139A9" w14:textId="77777777" w:rsidR="0063682B" w:rsidRPr="006A19FD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3B6DE395" w14:textId="77777777" w:rsidR="0063682B" w:rsidRPr="006A19FD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color w:val="548DD4"/>
          <w:sz w:val="24"/>
          <w:szCs w:val="24"/>
          <w:lang w:eastAsia="cs-CZ"/>
        </w:rPr>
      </w:pPr>
      <w:r w:rsidRPr="000773D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Asociácia zamestnávateľských zväzov a združení SR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záverečných skúšok nezúčastnila.</w:t>
      </w:r>
    </w:p>
    <w:p w14:paraId="01C0A725" w14:textId="77777777" w:rsidR="0063682B" w:rsidRPr="006A19FD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D8EC04" w14:textId="7A9F1A0E" w:rsidR="0063682B" w:rsidRPr="003833F6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 w:rsidRPr="000773D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Slovenská potravinárska a poľnohospodárska komora sa spolu so Slovenskou lesníckou komorou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zúčastnila na </w:t>
      </w:r>
      <w:r w:rsidR="003833F6">
        <w:rPr>
          <w:rFonts w:ascii="Times New Roman" w:eastAsia="Times New Roman" w:hAnsi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záverečných skúškach</w:t>
      </w:r>
      <w:r w:rsidR="003833F6">
        <w:rPr>
          <w:rFonts w:ascii="Times New Roman" w:eastAsia="Times New Roman" w:hAnsi="Times New Roman"/>
          <w:sz w:val="24"/>
          <w:szCs w:val="24"/>
          <w:lang w:eastAsia="cs-CZ"/>
        </w:rPr>
        <w:t>, ktoré absolvovalo 179 žiakov</w:t>
      </w:r>
      <w:r w:rsidRPr="00B77377">
        <w:rPr>
          <w:rFonts w:ascii="Times New Roman" w:eastAsia="Times New Roman" w:hAnsi="Times New Roman"/>
          <w:i/>
          <w:sz w:val="24"/>
          <w:szCs w:val="24"/>
          <w:lang w:eastAsia="cs-CZ"/>
        </w:rPr>
        <w:t>,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ktoré sa uskutočnili na stredných odborných školách vyučujúcich odbory, ktoré patria do jej pôsobnosti.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stredných odborných školách v jej pôsobnosti  ukončovalo štúdium</w:t>
      </w:r>
      <w:r w:rsidR="00B41B1A">
        <w:rPr>
          <w:rFonts w:ascii="Times New Roman" w:eastAsia="Times New Roman" w:hAnsi="Times New Roman"/>
          <w:sz w:val="24"/>
          <w:szCs w:val="24"/>
          <w:lang w:eastAsia="cs-CZ"/>
        </w:rPr>
        <w:t xml:space="preserve"> záverečnou skúškou 739</w:t>
      </w:r>
      <w:r w:rsidRPr="003833F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Pr="0067005A">
        <w:rPr>
          <w:rFonts w:ascii="Times New Roman" w:eastAsia="Times New Roman" w:hAnsi="Times New Roman"/>
          <w:sz w:val="24"/>
          <w:szCs w:val="24"/>
          <w:lang w:eastAsia="cs-CZ"/>
        </w:rPr>
        <w:t xml:space="preserve">žiakov. </w:t>
      </w:r>
    </w:p>
    <w:p w14:paraId="5AE32A6C" w14:textId="77777777" w:rsidR="0063682B" w:rsidRPr="006A19FD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7DF6153" w14:textId="6ED1585B" w:rsidR="0063682B" w:rsidRPr="003833F6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0773D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Slovenská obchodná a priemyselná komora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zúčastnila na 1</w:t>
      </w:r>
      <w:r w:rsidR="003833F6">
        <w:rPr>
          <w:rFonts w:ascii="Times New Roman" w:eastAsia="Times New Roman" w:hAnsi="Times New Roman"/>
          <w:sz w:val="24"/>
          <w:szCs w:val="24"/>
          <w:lang w:eastAsia="cs-CZ"/>
        </w:rPr>
        <w:t>66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záverečných skúškach. Na stredných odborných školách v pôsobnosti SOPK ukončilo štúdium záverečnou skúškou </w:t>
      </w:r>
      <w:r w:rsidR="00B41B1A">
        <w:rPr>
          <w:rFonts w:ascii="Times New Roman" w:eastAsia="Times New Roman" w:hAnsi="Times New Roman"/>
          <w:sz w:val="24"/>
          <w:szCs w:val="24"/>
          <w:lang w:eastAsia="cs-CZ"/>
        </w:rPr>
        <w:t>2 180 žiakov.</w:t>
      </w:r>
    </w:p>
    <w:p w14:paraId="2FA5A32A" w14:textId="77777777" w:rsidR="0063682B" w:rsidRPr="006A19FD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0715F53" w14:textId="2DFD1D1C" w:rsidR="0063682B" w:rsidRPr="00B77377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787F8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Slovenská živnostenská komora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zúčastnila na </w:t>
      </w:r>
      <w:r w:rsidR="003833F6">
        <w:rPr>
          <w:rFonts w:ascii="Times New Roman" w:eastAsia="Times New Roman" w:hAnsi="Times New Roman"/>
          <w:sz w:val="24"/>
          <w:szCs w:val="24"/>
          <w:lang w:eastAsia="cs-CZ"/>
        </w:rPr>
        <w:t>31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záverečných skúškach</w:t>
      </w:r>
      <w:r w:rsidR="00B41B1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8629732" w14:textId="77777777" w:rsidR="0063682B" w:rsidRPr="006A19FD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94F1ACE" w14:textId="5F75883A" w:rsidR="0063682B" w:rsidRPr="00612556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0773D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Republiková únia zamestnávateľov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zúčastnila </w:t>
      </w:r>
      <w:r w:rsidR="003833F6">
        <w:rPr>
          <w:rFonts w:ascii="Times New Roman" w:eastAsia="Times New Roman" w:hAnsi="Times New Roman"/>
          <w:sz w:val="24"/>
          <w:szCs w:val="24"/>
          <w:lang w:eastAsia="cs-CZ"/>
        </w:rPr>
        <w:t>72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záverečných skúšok. Učebné odbory, ktoré patria do pôsobnosti RÚZ ukončilo </w:t>
      </w:r>
      <w:r w:rsidR="00B41B1A">
        <w:rPr>
          <w:rFonts w:ascii="Times New Roman" w:eastAsia="Times New Roman" w:hAnsi="Times New Roman"/>
          <w:sz w:val="24"/>
          <w:szCs w:val="24"/>
          <w:lang w:eastAsia="cs-CZ"/>
        </w:rPr>
        <w:t xml:space="preserve">4 216 </w:t>
      </w:r>
      <w:r w:rsidRPr="00B41B1A">
        <w:rPr>
          <w:rFonts w:ascii="Times New Roman" w:eastAsia="Times New Roman" w:hAnsi="Times New Roman"/>
          <w:sz w:val="24"/>
          <w:szCs w:val="24"/>
          <w:lang w:eastAsia="cs-CZ"/>
        </w:rPr>
        <w:t>žiakov.</w:t>
      </w:r>
    </w:p>
    <w:p w14:paraId="0AC41450" w14:textId="77777777" w:rsidR="0063682B" w:rsidRPr="00B77377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1F4BF720" w14:textId="2209EC01" w:rsidR="0063682B" w:rsidRDefault="0063682B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614B5">
        <w:rPr>
          <w:rFonts w:ascii="Times New Roman" w:eastAsia="Times New Roman" w:hAnsi="Times New Roman"/>
          <w:sz w:val="24"/>
          <w:szCs w:val="24"/>
          <w:lang w:eastAsia="cs-CZ"/>
        </w:rPr>
        <w:t xml:space="preserve">Všetci nominovaní zástupcovia stavovských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organizácií </w:t>
      </w:r>
      <w:r w:rsidRPr="00C614B5">
        <w:rPr>
          <w:rFonts w:ascii="Times New Roman" w:eastAsia="Times New Roman" w:hAnsi="Times New Roman"/>
          <w:sz w:val="24"/>
          <w:szCs w:val="24"/>
          <w:lang w:eastAsia="cs-CZ"/>
        </w:rPr>
        <w:t xml:space="preserve">a profesijných organizácií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zhodne konštatovali, že na maturitných a záverečných skúškach boli platnými členmi skúšobných komisií, mohli klásť otázky a</w:t>
      </w:r>
      <w:r w:rsidR="00612556">
        <w:rPr>
          <w:rFonts w:ascii="Times New Roman" w:eastAsia="Times New Roman" w:hAnsi="Times New Roman"/>
          <w:sz w:val="24"/>
          <w:szCs w:val="24"/>
          <w:lang w:eastAsia="cs-CZ"/>
        </w:rPr>
        <w:t>ko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aj aktívne sa podieľať na klasifikácii a na celkovom hodnotení žiakov</w:t>
      </w:r>
      <w:r w:rsidR="0061255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1AF983C" w14:textId="77777777" w:rsidR="00612556" w:rsidRDefault="00612556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7026A3" w14:textId="29D17BCF" w:rsidR="00612556" w:rsidRDefault="00612556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Spolupráca Slovenskej obchodnej a priemyselnej komory a stredných odborných škôl vytvára vhodné podmienky pre zaradenie absolventov do praxe. Umožňuje urobiť si prehľad o smere odbornej prípravy žiakov, čo dáva možnosť spolupráce s firmami a jej prispôsobenie sa potrebám trhu. </w:t>
      </w:r>
    </w:p>
    <w:p w14:paraId="685D60A6" w14:textId="77777777" w:rsidR="00612556" w:rsidRPr="00C614B5" w:rsidRDefault="00612556" w:rsidP="00636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1A89B75" w14:textId="14FA7997" w:rsidR="001F3612" w:rsidRPr="007B6BB9" w:rsidRDefault="001F3612" w:rsidP="001F361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7B6BB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lastRenderedPageBreak/>
        <w:t>Účasť zástupcov profesijných alebo stavovských organizácií na maturitných skúškach</w:t>
      </w:r>
    </w:p>
    <w:p w14:paraId="1E2D7AD3" w14:textId="77777777" w:rsidR="001F3612" w:rsidRPr="007B6BB9" w:rsidRDefault="001F3612" w:rsidP="006A19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1DEFA9B7" w14:textId="14225943" w:rsidR="000A40D2" w:rsidRPr="006A19FD" w:rsidRDefault="006A19FD" w:rsidP="000A4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7B2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Asociácia zamestnávateľských zväzov a združení SR</w:t>
      </w:r>
      <w:r w:rsidR="00892EA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(AZZZ)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sa zúčastnila na </w:t>
      </w:r>
      <w:r w:rsidR="00740C5E">
        <w:rPr>
          <w:rFonts w:ascii="Times New Roman" w:eastAsia="Times New Roman" w:hAnsi="Times New Roman"/>
          <w:sz w:val="24"/>
          <w:szCs w:val="24"/>
          <w:lang w:eastAsia="cs-CZ"/>
        </w:rPr>
        <w:t xml:space="preserve">20 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maturitných skúškach</w:t>
      </w:r>
      <w:r w:rsidR="00755C4C">
        <w:rPr>
          <w:rFonts w:ascii="Times New Roman" w:eastAsia="Times New Roman" w:hAnsi="Times New Roman"/>
          <w:sz w:val="24"/>
          <w:szCs w:val="24"/>
          <w:lang w:eastAsia="cs-CZ"/>
        </w:rPr>
        <w:t>, kde ukončovalo štúdium</w:t>
      </w:r>
      <w:r w:rsidR="00892E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40C5E">
        <w:rPr>
          <w:rFonts w:ascii="Times New Roman" w:eastAsia="Times New Roman" w:hAnsi="Times New Roman"/>
          <w:sz w:val="24"/>
          <w:szCs w:val="24"/>
          <w:lang w:eastAsia="cs-CZ"/>
        </w:rPr>
        <w:t>186</w:t>
      </w:r>
      <w:r w:rsidR="00115CDF">
        <w:rPr>
          <w:rFonts w:ascii="Times New Roman" w:eastAsia="Times New Roman" w:hAnsi="Times New Roman"/>
          <w:sz w:val="24"/>
          <w:szCs w:val="24"/>
          <w:lang w:eastAsia="cs-CZ"/>
        </w:rPr>
        <w:t xml:space="preserve"> absolventov</w:t>
      </w:r>
      <w:r w:rsidR="00B573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92EA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Delegovaní</w:t>
      </w:r>
      <w:r w:rsidR="00892EA6"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zástupcovia  AZZZ vo svojich správach zhodnotili, že zručnosti žiakov a využívanie odbornej terminológie boli počas maturitnej skúšky ale aj záverečnej skúšky na veľmi dobrej úrovni</w:t>
      </w:r>
      <w:r w:rsidR="00144383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892EA6">
        <w:rPr>
          <w:rFonts w:ascii="Times New Roman" w:eastAsia="Times New Roman" w:hAnsi="Times New Roman"/>
          <w:sz w:val="24"/>
          <w:szCs w:val="24"/>
          <w:lang w:eastAsia="cs-CZ"/>
        </w:rPr>
        <w:t xml:space="preserve"> Učebné pomôcky boli využívané vhodne,</w:t>
      </w:r>
      <w:r w:rsidR="00740C5E">
        <w:rPr>
          <w:rFonts w:ascii="Times New Roman" w:eastAsia="Times New Roman" w:hAnsi="Times New Roman"/>
          <w:sz w:val="24"/>
          <w:szCs w:val="24"/>
          <w:lang w:eastAsia="cs-CZ"/>
        </w:rPr>
        <w:t xml:space="preserve"> v rámci odborov 37 v plnej miere a v rámci odborov 27, 28 </w:t>
      </w:r>
      <w:r w:rsidR="00892EA6">
        <w:rPr>
          <w:rFonts w:ascii="Times New Roman" w:eastAsia="Times New Roman" w:hAnsi="Times New Roman"/>
          <w:sz w:val="24"/>
          <w:szCs w:val="24"/>
          <w:lang w:eastAsia="cs-CZ"/>
        </w:rPr>
        <w:t xml:space="preserve"> v dostatočnom rozsahu a v závislosti od riešeného zadania. Na praktickej časti odbornej</w:t>
      </w:r>
      <w:r w:rsidR="00B573BF">
        <w:rPr>
          <w:rFonts w:ascii="Times New Roman" w:eastAsia="Times New Roman" w:hAnsi="Times New Roman"/>
          <w:sz w:val="24"/>
          <w:szCs w:val="24"/>
          <w:lang w:eastAsia="cs-CZ"/>
        </w:rPr>
        <w:t xml:space="preserve"> zložky maturitnej skúšky sa </w:t>
      </w:r>
      <w:r w:rsidR="00740C5E">
        <w:rPr>
          <w:rFonts w:ascii="Times New Roman" w:eastAsia="Times New Roman" w:hAnsi="Times New Roman"/>
          <w:sz w:val="24"/>
          <w:szCs w:val="24"/>
          <w:lang w:eastAsia="cs-CZ"/>
        </w:rPr>
        <w:t>zúčastnilo 19 nominovaných zástupcov</w:t>
      </w:r>
      <w:r w:rsidR="00B573B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40C5E">
        <w:rPr>
          <w:rFonts w:ascii="Times New Roman" w:eastAsia="Times New Roman" w:hAnsi="Times New Roman"/>
          <w:sz w:val="24"/>
          <w:szCs w:val="24"/>
          <w:lang w:eastAsia="cs-CZ"/>
        </w:rPr>
        <w:t xml:space="preserve"> Celkové hodnotenie odbornej zložky maturitnej skúšky bolo nasledovné: najnižšie hodnotenie neuviedol an</w:t>
      </w:r>
      <w:r w:rsidR="00100D0B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740C5E">
        <w:rPr>
          <w:rFonts w:ascii="Times New Roman" w:eastAsia="Times New Roman" w:hAnsi="Times New Roman"/>
          <w:sz w:val="24"/>
          <w:szCs w:val="24"/>
          <w:lang w:eastAsia="cs-CZ"/>
        </w:rPr>
        <w:t xml:space="preserve"> jeden</w:t>
      </w:r>
      <w:r w:rsidR="00100D0B"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zástupca, hodnotenie 2 uviedli 2 nominovaní zástupcovia, hodnotenie 3 uviedli 7, hodnotenie 4 uviedli 7 a najvyššie hodnotenie 5 uviedli 3 nominovaní zástupcovia.</w:t>
      </w:r>
      <w:r w:rsidR="000A40D2">
        <w:rPr>
          <w:rFonts w:ascii="Times New Roman" w:eastAsia="Times New Roman" w:hAnsi="Times New Roman"/>
          <w:sz w:val="24"/>
          <w:szCs w:val="24"/>
          <w:lang w:eastAsia="cs-CZ"/>
        </w:rPr>
        <w:t xml:space="preserve"> Na maturitných ale aj záverečných skúškach boli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delegovaní</w:t>
      </w:r>
      <w:r w:rsidR="000A40D2"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zástupcovia platnými členmi skúšobných komisií, bolo im umožnené klásť otázky, ako a</w:t>
      </w:r>
      <w:r w:rsidR="00100D0B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0A40D2">
        <w:rPr>
          <w:rFonts w:ascii="Times New Roman" w:eastAsia="Times New Roman" w:hAnsi="Times New Roman"/>
          <w:sz w:val="24"/>
          <w:szCs w:val="24"/>
          <w:lang w:eastAsia="cs-CZ"/>
        </w:rPr>
        <w:t xml:space="preserve"> aktívne sa podieľať na klasifikácii a na celkovom hodnotení žiakov.</w:t>
      </w:r>
    </w:p>
    <w:p w14:paraId="1E4B3DEE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8C52DB" w14:textId="2B92305F" w:rsidR="00B573BF" w:rsidRPr="006A19FD" w:rsidRDefault="006A19FD" w:rsidP="00B57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7B2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Slovenská </w:t>
      </w:r>
      <w:r w:rsidR="00C614B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poľnohospodárska a </w:t>
      </w:r>
      <w:r w:rsidRPr="00657B2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potravinárska komora sa spolu so Slovenskou lesníckou komorou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6426">
        <w:rPr>
          <w:rFonts w:ascii="Times New Roman" w:eastAsia="Times New Roman" w:hAnsi="Times New Roman"/>
          <w:sz w:val="24"/>
          <w:szCs w:val="24"/>
          <w:lang w:eastAsia="cs-CZ"/>
        </w:rPr>
        <w:t xml:space="preserve">sa zúčastnila na 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100D0B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6426">
        <w:rPr>
          <w:rFonts w:ascii="Times New Roman" w:eastAsia="Times New Roman" w:hAnsi="Times New Roman"/>
          <w:sz w:val="24"/>
          <w:szCs w:val="24"/>
          <w:lang w:eastAsia="cs-CZ"/>
        </w:rPr>
        <w:t>maturitných skúškach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>, ktoré sa uskutočnili na stredných odborných školách vyučujúcich odbory, ktoré patria do jej pôsobnosti</w:t>
      </w:r>
      <w:r w:rsidRPr="0014438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, </w:t>
      </w:r>
      <w:r w:rsidR="00D8664D" w:rsidRPr="00D8664D">
        <w:rPr>
          <w:rFonts w:ascii="Times New Roman" w:eastAsia="Times New Roman" w:hAnsi="Times New Roman"/>
          <w:sz w:val="24"/>
          <w:szCs w:val="24"/>
          <w:lang w:eastAsia="cs-CZ"/>
        </w:rPr>
        <w:t>kde ukončovalo štúdium</w:t>
      </w:r>
      <w:r w:rsidR="00452E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00D0B">
        <w:rPr>
          <w:rFonts w:ascii="Times New Roman" w:eastAsia="Times New Roman" w:hAnsi="Times New Roman"/>
          <w:sz w:val="24"/>
          <w:szCs w:val="24"/>
          <w:lang w:eastAsia="cs-CZ"/>
        </w:rPr>
        <w:t>388 a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>bsolventov</w:t>
      </w:r>
      <w:r w:rsidR="0031642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4438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067CA9" w:rsidRPr="00067CA9">
        <w:rPr>
          <w:rFonts w:ascii="Times New Roman" w:eastAsia="Times New Roman" w:hAnsi="Times New Roman"/>
          <w:sz w:val="24"/>
          <w:szCs w:val="24"/>
          <w:lang w:eastAsia="cs-CZ"/>
        </w:rPr>
        <w:t>Delegovaní</w:t>
      </w:r>
      <w:r w:rsidR="00B573BF" w:rsidRPr="00067CA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73BF">
        <w:rPr>
          <w:rFonts w:ascii="Times New Roman" w:eastAsia="Times New Roman" w:hAnsi="Times New Roman"/>
          <w:sz w:val="24"/>
          <w:szCs w:val="24"/>
          <w:lang w:eastAsia="cs-CZ"/>
        </w:rPr>
        <w:t>zástupcovia  SPPK zhodnotili, že zručnosti žiakov a využívanie odbornej terminológie boli počas maturitnej skúšky ale aj záverečnej skúšky v priemere dobré, učebné pomôcky boli využívané vhodne, v dostatočnom rozsahu a v závislosti od riešeného zadania.</w:t>
      </w:r>
      <w:r w:rsidR="00B573BF" w:rsidRPr="00B573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573BF">
        <w:rPr>
          <w:rFonts w:ascii="Times New Roman" w:eastAsia="Times New Roman" w:hAnsi="Times New Roman"/>
          <w:sz w:val="24"/>
          <w:szCs w:val="24"/>
          <w:lang w:eastAsia="cs-CZ"/>
        </w:rPr>
        <w:t xml:space="preserve">Na praktickej časti odbornej zložky maturitnej skúšky sa nezúčastnili 6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delegovaní</w:t>
      </w:r>
      <w:r w:rsidR="00B573BF"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zástupcovia AZZZ.</w:t>
      </w:r>
      <w:r w:rsidR="00D433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00D0B">
        <w:rPr>
          <w:rFonts w:ascii="Times New Roman" w:eastAsia="Times New Roman" w:hAnsi="Times New Roman"/>
          <w:sz w:val="24"/>
          <w:szCs w:val="24"/>
          <w:lang w:eastAsia="cs-CZ"/>
        </w:rPr>
        <w:t xml:space="preserve">Celkové hodnotenie praktickej časti odbornej zložky maturitnej skúšky bolo podľa nominovaných zástupcov SPPK nasledovné: najnižšie hodnotenie neuviedol ani jeden zástupca, hodnotenie 2 uviedli 4 nominovaní zástupcovia, hodnotenie 3 uviedli 7, hodnotenie 4 uviedlo 15 a najvyššie hodnotenie 5 uviedli 3 nominovaní zástupcovia. </w:t>
      </w:r>
      <w:r w:rsidR="00D433C6">
        <w:rPr>
          <w:rFonts w:ascii="Times New Roman" w:eastAsia="Times New Roman" w:hAnsi="Times New Roman"/>
          <w:sz w:val="24"/>
          <w:szCs w:val="24"/>
          <w:lang w:eastAsia="cs-CZ"/>
        </w:rPr>
        <w:t xml:space="preserve">Hodnotenie odbornej úrovne v praktickej časti odbornej zložky maturitnej skúšky väčšina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delegovaných</w:t>
      </w:r>
      <w:r w:rsidR="00D433C6"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zástupcov hodnotila stup</w:t>
      </w:r>
      <w:r w:rsidR="00DF05CD">
        <w:rPr>
          <w:rFonts w:ascii="Times New Roman" w:eastAsia="Times New Roman" w:hAnsi="Times New Roman"/>
          <w:sz w:val="24"/>
          <w:szCs w:val="24"/>
          <w:lang w:eastAsia="cs-CZ"/>
        </w:rPr>
        <w:t>ňom 4</w:t>
      </w:r>
      <w:r w:rsidR="00D433C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DF05C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A40D2">
        <w:rPr>
          <w:rFonts w:ascii="Times New Roman" w:eastAsia="Times New Roman" w:hAnsi="Times New Roman"/>
          <w:sz w:val="24"/>
          <w:szCs w:val="24"/>
          <w:lang w:eastAsia="cs-CZ"/>
        </w:rPr>
        <w:t xml:space="preserve">Všetci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delegovaní</w:t>
      </w:r>
      <w:r w:rsidR="000A40D2"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zástupcovia uviedli, že na</w:t>
      </w:r>
      <w:r w:rsidR="00DF05CD">
        <w:rPr>
          <w:rFonts w:ascii="Times New Roman" w:eastAsia="Times New Roman" w:hAnsi="Times New Roman"/>
          <w:sz w:val="24"/>
          <w:szCs w:val="24"/>
          <w:lang w:eastAsia="cs-CZ"/>
        </w:rPr>
        <w:t xml:space="preserve"> maturitných ale aj záverečných skúškach boli  platnými členmi skúšobných komisií, bolo im umožnené klásť otázky, ako ak aktívne sa podieľať na klasifikácii a na celkovom hodnotení žiakov.</w:t>
      </w:r>
    </w:p>
    <w:p w14:paraId="05136FAD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B0042E" w14:textId="49DBD46A" w:rsid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7B2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Slovenská obchodná a priemyselná komora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sa </w:t>
      </w:r>
      <w:r w:rsidR="00452EC9">
        <w:rPr>
          <w:rFonts w:ascii="Times New Roman" w:eastAsia="Times New Roman" w:hAnsi="Times New Roman"/>
          <w:sz w:val="24"/>
          <w:szCs w:val="24"/>
          <w:lang w:eastAsia="cs-CZ"/>
        </w:rPr>
        <w:t>zúčastnila na</w:t>
      </w:r>
      <w:r w:rsidR="00115CD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100D0B">
        <w:rPr>
          <w:rFonts w:ascii="Times New Roman" w:eastAsia="Times New Roman" w:hAnsi="Times New Roman"/>
          <w:sz w:val="24"/>
          <w:szCs w:val="24"/>
          <w:lang w:eastAsia="cs-CZ"/>
        </w:rPr>
        <w:t>26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52EC9">
        <w:rPr>
          <w:rFonts w:ascii="Times New Roman" w:eastAsia="Times New Roman" w:hAnsi="Times New Roman"/>
          <w:sz w:val="24"/>
          <w:szCs w:val="24"/>
          <w:lang w:eastAsia="cs-CZ"/>
        </w:rPr>
        <w:t>maturitných skúškach, ktoré sa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uskutočnili na stredných odborných školách vyučujúcich odbory, ktoré patria do jej pôsobnosti</w:t>
      </w:r>
      <w:r w:rsidR="004E1FEA">
        <w:rPr>
          <w:rFonts w:ascii="Times New Roman" w:eastAsia="Times New Roman" w:hAnsi="Times New Roman"/>
          <w:sz w:val="24"/>
          <w:szCs w:val="24"/>
          <w:lang w:eastAsia="cs-CZ"/>
        </w:rPr>
        <w:t xml:space="preserve">. Na stredných školách, ktoré patria do pôsobnosti slovenskej obchodnej a priemyselnej komory 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 xml:space="preserve">ukončovalo štúdium </w:t>
      </w:r>
      <w:r w:rsidR="00B41B1A">
        <w:rPr>
          <w:rFonts w:ascii="Times New Roman" w:eastAsia="Times New Roman" w:hAnsi="Times New Roman"/>
          <w:sz w:val="24"/>
          <w:szCs w:val="24"/>
          <w:lang w:eastAsia="cs-CZ"/>
        </w:rPr>
        <w:t>maturitnou skúškou 5 072</w:t>
      </w:r>
      <w:r w:rsidR="00D8664D" w:rsidRPr="00100D0B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D8664D" w:rsidRPr="00B41B1A">
        <w:rPr>
          <w:rFonts w:ascii="Times New Roman" w:eastAsia="Times New Roman" w:hAnsi="Times New Roman"/>
          <w:sz w:val="24"/>
          <w:szCs w:val="24"/>
          <w:lang w:eastAsia="cs-CZ"/>
        </w:rPr>
        <w:t>absolventov</w:t>
      </w:r>
      <w:r w:rsidRPr="00B41B1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27881" w:rsidRPr="00B41B1A">
        <w:rPr>
          <w:rFonts w:ascii="Times New Roman" w:eastAsia="Times New Roman" w:hAnsi="Times New Roman"/>
          <w:sz w:val="24"/>
          <w:szCs w:val="24"/>
          <w:lang w:eastAsia="cs-CZ"/>
        </w:rPr>
        <w:t xml:space="preserve"> Delegovaní zástupcovia v rámci hodnotenia kvalitatívnych ukazovateľov vo vzťahu </w:t>
      </w:r>
      <w:r w:rsidR="00927881">
        <w:rPr>
          <w:rFonts w:ascii="Times New Roman" w:eastAsia="Times New Roman" w:hAnsi="Times New Roman"/>
          <w:sz w:val="24"/>
          <w:szCs w:val="24"/>
          <w:lang w:eastAsia="cs-CZ"/>
        </w:rPr>
        <w:t xml:space="preserve">k jednotlivým odborom vzdelávania konštatovali, že </w:t>
      </w:r>
      <w:r w:rsidR="00593FA8">
        <w:rPr>
          <w:rFonts w:ascii="Times New Roman" w:eastAsia="Times New Roman" w:hAnsi="Times New Roman"/>
          <w:sz w:val="24"/>
          <w:szCs w:val="24"/>
          <w:lang w:eastAsia="cs-CZ"/>
        </w:rPr>
        <w:t xml:space="preserve">žiaci majú dobré komunikačné a vyjadrovacie schopnosti. V niektorých prípadoch boli hodnotné stupňom úrovne veľmi </w:t>
      </w:r>
      <w:r w:rsidR="00593FA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dobrá. Žiaci využívali učebné pomôcky v plnom rozsahu, tým aj dopĺňali svoje odpovede </w:t>
      </w:r>
      <w:r w:rsidR="00067CA9">
        <w:rPr>
          <w:rFonts w:ascii="Times New Roman" w:eastAsia="Times New Roman" w:hAnsi="Times New Roman"/>
          <w:sz w:val="24"/>
          <w:szCs w:val="24"/>
          <w:lang w:eastAsia="cs-CZ"/>
        </w:rPr>
        <w:t>Delegovaní</w:t>
      </w:r>
      <w:r w:rsidR="000A40D2">
        <w:rPr>
          <w:rFonts w:ascii="Times New Roman" w:eastAsia="Times New Roman" w:hAnsi="Times New Roman"/>
          <w:sz w:val="24"/>
          <w:szCs w:val="24"/>
          <w:lang w:eastAsia="cs-CZ"/>
        </w:rPr>
        <w:t xml:space="preserve"> zástupcovia </w:t>
      </w:r>
      <w:r w:rsidR="00593FA8">
        <w:rPr>
          <w:rFonts w:ascii="Times New Roman" w:eastAsia="Times New Roman" w:hAnsi="Times New Roman"/>
          <w:sz w:val="24"/>
          <w:szCs w:val="24"/>
          <w:lang w:eastAsia="cs-CZ"/>
        </w:rPr>
        <w:t>konštatovali, že odborná úroveň žiakov bola hodnotená zväčša stupňom úrovne dobrá, v niektorých prípadoch veľmi dobrá.</w:t>
      </w:r>
    </w:p>
    <w:p w14:paraId="76BB7631" w14:textId="77777777" w:rsidR="00593FA8" w:rsidRPr="006A19FD" w:rsidRDefault="00593FA8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07F6D3" w14:textId="049DD394" w:rsidR="00612556" w:rsidRDefault="00740C5E" w:rsidP="006125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základe konštatovania</w:t>
      </w:r>
      <w:r w:rsidR="00612556">
        <w:rPr>
          <w:rFonts w:ascii="Times New Roman" w:eastAsia="Times New Roman" w:hAnsi="Times New Roman"/>
          <w:sz w:val="24"/>
          <w:szCs w:val="24"/>
          <w:lang w:eastAsia="cs-CZ"/>
        </w:rPr>
        <w:t xml:space="preserve"> Slovenskej obchodnej a priemyselnej komory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spolupráca stavovskej organizácie a stre</w:t>
      </w:r>
      <w:r w:rsidR="00612556">
        <w:rPr>
          <w:rFonts w:ascii="Times New Roman" w:eastAsia="Times New Roman" w:hAnsi="Times New Roman"/>
          <w:sz w:val="24"/>
          <w:szCs w:val="24"/>
          <w:lang w:eastAsia="cs-CZ"/>
        </w:rPr>
        <w:t>dných odborných škôl vytvára vhodné podmienky pre zaradenie absolventov do praxe. Umožňuje urobiť si prehľad o smere odbornej prípravy žiakov, čo dáva možnosť spolupráce s firmami a jej prispôsobenie sa potrebám trhu. Účasť zástupcu SOPK na maturitných skúškach je prínosom pre obe zúčastnené strany, spolupráca s firmami je dôležitá pre praktické uplatnenie absolventov, tiež pre možnosť získania zamestnania vo firmách  v danej oblasti. Účasť zástupcu ako odborníka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612556">
        <w:rPr>
          <w:rFonts w:ascii="Times New Roman" w:eastAsia="Times New Roman" w:hAnsi="Times New Roman"/>
          <w:sz w:val="24"/>
          <w:szCs w:val="24"/>
          <w:lang w:eastAsia="cs-CZ"/>
        </w:rPr>
        <w:t>praxe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 veľmi potrebná, má motivačný vplyv na dosahovanie čo najlepších výsledkov štúdia u žiakov. Taktiež pridala na rešpekte a zvýšila vážnosť skúšok, hlavne z pohľadu študentov.</w:t>
      </w:r>
    </w:p>
    <w:p w14:paraId="5C9D4BB9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4B3EE52" w14:textId="46EF5827" w:rsidR="009D390E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7B2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Slovenská živnostenská komora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>nepredložila údaje,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ktoré by preukazovali mieru účasti zástupcov tejto komory na maturitných skúškach.</w:t>
      </w:r>
      <w:r w:rsidR="009D390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>Na stredných odborných školách patriacich do pôsobnosti</w:t>
      </w:r>
      <w:r w:rsidR="004E1FEA">
        <w:rPr>
          <w:rFonts w:ascii="Times New Roman" w:eastAsia="Times New Roman" w:hAnsi="Times New Roman"/>
          <w:sz w:val="24"/>
          <w:szCs w:val="24"/>
          <w:lang w:eastAsia="cs-CZ"/>
        </w:rPr>
        <w:t xml:space="preserve"> Slovenskej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E1FEA">
        <w:rPr>
          <w:rFonts w:ascii="Times New Roman" w:eastAsia="Times New Roman" w:hAnsi="Times New Roman"/>
          <w:sz w:val="24"/>
          <w:szCs w:val="24"/>
          <w:lang w:eastAsia="cs-CZ"/>
        </w:rPr>
        <w:t xml:space="preserve">živnostenskej komory </w:t>
      </w:r>
      <w:r w:rsidR="003F692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>ko</w:t>
      </w:r>
      <w:r w:rsidR="003F6927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D8664D">
        <w:rPr>
          <w:rFonts w:ascii="Times New Roman" w:eastAsia="Times New Roman" w:hAnsi="Times New Roman"/>
          <w:sz w:val="24"/>
          <w:szCs w:val="24"/>
          <w:lang w:eastAsia="cs-CZ"/>
        </w:rPr>
        <w:t xml:space="preserve">čovalo štúdium maturitou </w:t>
      </w:r>
      <w:r w:rsidR="003F69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41B1A">
        <w:rPr>
          <w:rFonts w:ascii="Times New Roman" w:eastAsia="Times New Roman" w:hAnsi="Times New Roman"/>
          <w:sz w:val="24"/>
          <w:szCs w:val="24"/>
          <w:lang w:eastAsia="cs-CZ"/>
        </w:rPr>
        <w:t>95</w:t>
      </w:r>
      <w:r w:rsidR="003F6927" w:rsidRPr="00593FA8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3F6927" w:rsidRPr="00B41B1A">
        <w:rPr>
          <w:rFonts w:ascii="Times New Roman" w:eastAsia="Times New Roman" w:hAnsi="Times New Roman"/>
          <w:sz w:val="24"/>
          <w:szCs w:val="24"/>
          <w:lang w:eastAsia="cs-CZ"/>
        </w:rPr>
        <w:t xml:space="preserve">absolventov. </w:t>
      </w:r>
      <w:r w:rsidR="009D390E">
        <w:rPr>
          <w:rFonts w:ascii="Times New Roman" w:eastAsia="Times New Roman" w:hAnsi="Times New Roman"/>
          <w:sz w:val="24"/>
          <w:szCs w:val="24"/>
          <w:lang w:eastAsia="cs-CZ"/>
        </w:rPr>
        <w:t xml:space="preserve">Delegovaní zástupcovia v rámci hodnotenia kvalitatívnych ukazovateľov vo vzťahu k jednotlivým odborom vzdelávania konštatovali, že pokiaľ ide o hodnotenie zručností žiakov a využívanie odbornej terminológie, tieto hodnotili v priemere  </w:t>
      </w:r>
      <w:r w:rsidR="00593FA8">
        <w:rPr>
          <w:rFonts w:ascii="Times New Roman" w:eastAsia="Times New Roman" w:hAnsi="Times New Roman"/>
          <w:sz w:val="24"/>
          <w:szCs w:val="24"/>
          <w:lang w:eastAsia="cs-CZ"/>
        </w:rPr>
        <w:t>3 a 4</w:t>
      </w:r>
      <w:r w:rsidR="009D390E">
        <w:rPr>
          <w:rFonts w:ascii="Times New Roman" w:eastAsia="Times New Roman" w:hAnsi="Times New Roman"/>
          <w:sz w:val="24"/>
          <w:szCs w:val="24"/>
          <w:lang w:eastAsia="cs-CZ"/>
        </w:rPr>
        <w:t>, využívanie učebných pomôcok</w:t>
      </w:r>
      <w:r w:rsidR="009D4084">
        <w:rPr>
          <w:rFonts w:ascii="Times New Roman" w:eastAsia="Times New Roman" w:hAnsi="Times New Roman"/>
          <w:sz w:val="24"/>
          <w:szCs w:val="24"/>
          <w:lang w:eastAsia="cs-CZ"/>
        </w:rPr>
        <w:t xml:space="preserve"> hodnotili stupňom úrovne </w:t>
      </w:r>
      <w:r w:rsidR="009D390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D4084">
        <w:rPr>
          <w:rFonts w:ascii="Times New Roman" w:eastAsia="Times New Roman" w:hAnsi="Times New Roman"/>
          <w:sz w:val="24"/>
          <w:szCs w:val="24"/>
          <w:lang w:eastAsia="cs-CZ"/>
        </w:rPr>
        <w:t xml:space="preserve">3, 4 a 5 </w:t>
      </w:r>
      <w:r w:rsidR="009D390E">
        <w:rPr>
          <w:rFonts w:ascii="Times New Roman" w:eastAsia="Times New Roman" w:hAnsi="Times New Roman"/>
          <w:sz w:val="24"/>
          <w:szCs w:val="24"/>
          <w:lang w:eastAsia="cs-CZ"/>
        </w:rPr>
        <w:t xml:space="preserve">a celkové hodnotenie odbornej úrovne žiakov </w:t>
      </w:r>
      <w:r w:rsidR="009D4084">
        <w:rPr>
          <w:rFonts w:ascii="Times New Roman" w:eastAsia="Times New Roman" w:hAnsi="Times New Roman"/>
          <w:sz w:val="24"/>
          <w:szCs w:val="24"/>
          <w:lang w:eastAsia="cs-CZ"/>
        </w:rPr>
        <w:t>stupňom 3 a 4.</w:t>
      </w:r>
      <w:r w:rsidR="009D390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A155469" w14:textId="77777777" w:rsidR="009D390E" w:rsidRDefault="009D390E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F9E7992" w14:textId="7932089B" w:rsidR="0059503F" w:rsidRDefault="006A19FD" w:rsidP="00595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7B2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Republiková únia zamestnávateľov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sa </w:t>
      </w:r>
      <w:r w:rsidR="001F3612">
        <w:rPr>
          <w:rFonts w:ascii="Times New Roman" w:eastAsia="Times New Roman" w:hAnsi="Times New Roman"/>
          <w:sz w:val="24"/>
          <w:szCs w:val="24"/>
          <w:lang w:eastAsia="cs-CZ"/>
        </w:rPr>
        <w:t xml:space="preserve">zúčastnila na </w:t>
      </w:r>
      <w:r w:rsidR="009D4084">
        <w:rPr>
          <w:rFonts w:ascii="Times New Roman" w:eastAsia="Times New Roman" w:hAnsi="Times New Roman"/>
          <w:sz w:val="24"/>
          <w:szCs w:val="24"/>
          <w:lang w:eastAsia="cs-CZ"/>
        </w:rPr>
        <w:t>65</w:t>
      </w:r>
      <w:r w:rsidRPr="006A19FD">
        <w:rPr>
          <w:rFonts w:ascii="Times New Roman" w:eastAsia="Times New Roman" w:hAnsi="Times New Roman"/>
          <w:sz w:val="24"/>
          <w:szCs w:val="24"/>
          <w:lang w:eastAsia="cs-CZ"/>
        </w:rPr>
        <w:t xml:space="preserve"> maturitných skúškach</w:t>
      </w:r>
      <w:r w:rsidR="003F6927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B0B5B">
        <w:rPr>
          <w:rFonts w:ascii="Times New Roman" w:eastAsia="Times New Roman" w:hAnsi="Times New Roman"/>
          <w:sz w:val="24"/>
          <w:szCs w:val="24"/>
          <w:lang w:eastAsia="cs-CZ"/>
        </w:rPr>
        <w:t>Na stredných odborných školách, ktoré patria do pôsobnosti RÚZ u</w:t>
      </w:r>
      <w:r w:rsidR="003F6927">
        <w:rPr>
          <w:rFonts w:ascii="Times New Roman" w:eastAsia="Times New Roman" w:hAnsi="Times New Roman"/>
          <w:sz w:val="24"/>
          <w:szCs w:val="24"/>
          <w:lang w:eastAsia="cs-CZ"/>
        </w:rPr>
        <w:t>konč</w:t>
      </w:r>
      <w:r w:rsidR="004B0B5B">
        <w:rPr>
          <w:rFonts w:ascii="Times New Roman" w:eastAsia="Times New Roman" w:hAnsi="Times New Roman"/>
          <w:sz w:val="24"/>
          <w:szCs w:val="24"/>
          <w:lang w:eastAsia="cs-CZ"/>
        </w:rPr>
        <w:t xml:space="preserve">ilo štúdium maturitnou skúškou </w:t>
      </w:r>
      <w:r w:rsidR="00B41B1A">
        <w:rPr>
          <w:rFonts w:ascii="Times New Roman" w:eastAsia="Times New Roman" w:hAnsi="Times New Roman"/>
          <w:sz w:val="24"/>
          <w:szCs w:val="24"/>
          <w:lang w:eastAsia="cs-CZ"/>
        </w:rPr>
        <w:t>12 412</w:t>
      </w:r>
      <w:r w:rsidR="004B0B5B" w:rsidRPr="009D4084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 w:rsidR="004B0B5B" w:rsidRPr="00B41B1A">
        <w:rPr>
          <w:rFonts w:ascii="Times New Roman" w:eastAsia="Times New Roman" w:hAnsi="Times New Roman"/>
          <w:sz w:val="24"/>
          <w:szCs w:val="24"/>
          <w:lang w:eastAsia="cs-CZ"/>
        </w:rPr>
        <w:t>absolventov.</w:t>
      </w:r>
      <w:r w:rsidR="008710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D4084">
        <w:rPr>
          <w:rFonts w:ascii="Times New Roman" w:eastAsia="Times New Roman" w:hAnsi="Times New Roman"/>
          <w:sz w:val="24"/>
          <w:szCs w:val="24"/>
          <w:lang w:eastAsia="cs-CZ"/>
        </w:rPr>
        <w:t xml:space="preserve">Počet stredných odborných škôl, skúšobných komisií nielen pre maturitnú skúšku ale aj záverečnú skúšku, ako aj počet zástupcov RÚZ, ktorí sa zúčastnili na ukončovaní štúdia bol v porovnaní s minulým rokom významne navýšený. </w:t>
      </w:r>
      <w:r w:rsidR="0087108B">
        <w:rPr>
          <w:rFonts w:ascii="Times New Roman" w:eastAsia="Times New Roman" w:hAnsi="Times New Roman"/>
          <w:sz w:val="24"/>
          <w:szCs w:val="24"/>
          <w:lang w:eastAsia="cs-CZ"/>
        </w:rPr>
        <w:t>Celkove sa na ukončovaní štúdia</w:t>
      </w:r>
      <w:r w:rsidR="00673730">
        <w:rPr>
          <w:rFonts w:ascii="Times New Roman" w:eastAsia="Times New Roman" w:hAnsi="Times New Roman"/>
          <w:sz w:val="24"/>
          <w:szCs w:val="24"/>
          <w:lang w:eastAsia="cs-CZ"/>
        </w:rPr>
        <w:t xml:space="preserve"> z</w:t>
      </w:r>
      <w:r w:rsidR="0087108B">
        <w:rPr>
          <w:rFonts w:ascii="Times New Roman" w:eastAsia="Times New Roman" w:hAnsi="Times New Roman"/>
          <w:sz w:val="24"/>
          <w:szCs w:val="24"/>
          <w:lang w:eastAsia="cs-CZ"/>
        </w:rPr>
        <w:t>ástupcov</w:t>
      </w:r>
      <w:r w:rsidR="00673730">
        <w:rPr>
          <w:rFonts w:ascii="Times New Roman" w:eastAsia="Times New Roman" w:hAnsi="Times New Roman"/>
          <w:sz w:val="24"/>
          <w:szCs w:val="24"/>
          <w:lang w:eastAsia="cs-CZ"/>
        </w:rPr>
        <w:t>ia</w:t>
      </w:r>
      <w:r w:rsidR="0087108B">
        <w:rPr>
          <w:rFonts w:ascii="Times New Roman" w:eastAsia="Times New Roman" w:hAnsi="Times New Roman"/>
          <w:sz w:val="24"/>
          <w:szCs w:val="24"/>
          <w:lang w:eastAsia="cs-CZ"/>
        </w:rPr>
        <w:t xml:space="preserve"> RÚZ</w:t>
      </w:r>
      <w:r w:rsidR="00673730">
        <w:rPr>
          <w:rFonts w:ascii="Times New Roman" w:eastAsia="Times New Roman" w:hAnsi="Times New Roman"/>
          <w:sz w:val="24"/>
          <w:szCs w:val="24"/>
          <w:lang w:eastAsia="cs-CZ"/>
        </w:rPr>
        <w:t xml:space="preserve"> zúčastnili v 65 maturitných komisiách.</w:t>
      </w:r>
      <w:r w:rsidR="009D390E">
        <w:rPr>
          <w:rFonts w:ascii="Times New Roman" w:eastAsia="Times New Roman" w:hAnsi="Times New Roman"/>
          <w:sz w:val="24"/>
          <w:szCs w:val="24"/>
          <w:lang w:eastAsia="cs-CZ"/>
        </w:rPr>
        <w:t xml:space="preserve"> Delegovaní zástupcovia v rámci hodnotenia kvalitatívnych ukazovateľov vo vzťahu k jednotlivým odborom vzdelávania konštatovali, že kvalitatívne hodnotenie má vyššiu výpovednú hodnotu ako v minulom školskom roku, zručnosť žiakov</w:t>
      </w:r>
      <w:r w:rsidR="00673730">
        <w:rPr>
          <w:rFonts w:ascii="Times New Roman" w:eastAsia="Times New Roman" w:hAnsi="Times New Roman"/>
          <w:sz w:val="24"/>
          <w:szCs w:val="24"/>
          <w:lang w:eastAsia="cs-CZ"/>
        </w:rPr>
        <w:t xml:space="preserve"> a využívanie odbornej terminológie boli hodnotené len v niektorých prípadoch, zakaždým však bolo hodnotenie pozitívne. Využívanie učebných pomôcok bolo na veľmi dobrej úrovni, resp. bolo hodnotené ako primerané</w:t>
      </w:r>
      <w:r w:rsidR="0059503F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673730">
        <w:rPr>
          <w:rFonts w:ascii="Times New Roman" w:eastAsia="Times New Roman" w:hAnsi="Times New Roman"/>
          <w:sz w:val="24"/>
          <w:szCs w:val="24"/>
          <w:lang w:eastAsia="cs-CZ"/>
        </w:rPr>
        <w:t xml:space="preserve"> Celkové hodnotenie odbornej úrovne žiakov bolo väčšinou hodnotené </w:t>
      </w:r>
      <w:r w:rsidR="005950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C4E49">
        <w:rPr>
          <w:rFonts w:ascii="Times New Roman" w:eastAsia="Times New Roman" w:hAnsi="Times New Roman"/>
          <w:sz w:val="24"/>
          <w:szCs w:val="24"/>
          <w:lang w:eastAsia="cs-CZ"/>
        </w:rPr>
        <w:t xml:space="preserve">ako veľmi dobré alebo dobré, v niektorých prípadoch hodnotené ako vyhovujúce, resp. výborné.  </w:t>
      </w:r>
      <w:r w:rsidR="0059503F">
        <w:rPr>
          <w:rFonts w:ascii="Times New Roman" w:eastAsia="Times New Roman" w:hAnsi="Times New Roman"/>
          <w:sz w:val="24"/>
          <w:szCs w:val="24"/>
          <w:lang w:eastAsia="cs-CZ"/>
        </w:rPr>
        <w:t xml:space="preserve">Všetci delegovaní zástupcovia uviedli, že </w:t>
      </w:r>
      <w:r w:rsidR="001C4E49">
        <w:rPr>
          <w:rFonts w:ascii="Times New Roman" w:eastAsia="Times New Roman" w:hAnsi="Times New Roman"/>
          <w:sz w:val="24"/>
          <w:szCs w:val="24"/>
          <w:lang w:eastAsia="cs-CZ"/>
        </w:rPr>
        <w:t>v skúšobných komisiách alebo predmetových komisiách boli plne akceptovaní, mohli klásť otázky, väčšinou sa zúčastnili na kvalifikácii ale aj celkovom hodnotení žiakov.</w:t>
      </w:r>
      <w:r w:rsidR="0059503F">
        <w:rPr>
          <w:rFonts w:ascii="Times New Roman" w:eastAsia="Times New Roman" w:hAnsi="Times New Roman"/>
          <w:sz w:val="24"/>
          <w:szCs w:val="24"/>
          <w:lang w:eastAsia="cs-CZ"/>
        </w:rPr>
        <w:t>na maturitných ale aj záverečných skúškach boli  platnými členmi skúšobných komisií, bolo im umožnené klásť otázky, ako ak aktívne sa podieľať na klasifikácii a na celkovom hodnotení žiakov.</w:t>
      </w:r>
    </w:p>
    <w:p w14:paraId="4DB15B79" w14:textId="77777777" w:rsidR="009D4084" w:rsidRDefault="009D4084" w:rsidP="00595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0F204D" w14:textId="0013E113" w:rsidR="009D4084" w:rsidRPr="006A19FD" w:rsidRDefault="009D4084" w:rsidP="00595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D4084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lastRenderedPageBreak/>
        <w:t xml:space="preserve">Slovenská banská komora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sa v školskom roku 2014/2015 na ukončovaní štúdia nezúčastnila, nakoľko v učebnom odbore nemali žiadnu končiacu triedu.</w:t>
      </w:r>
    </w:p>
    <w:p w14:paraId="0F1DA47D" w14:textId="65FEEC35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ABCBBEA" w14:textId="77777777" w:rsidR="006A19FD" w:rsidRPr="006A19FD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127321" w14:textId="77777777" w:rsidR="0087108B" w:rsidRDefault="0087108B" w:rsidP="006A19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2D55BBB7" w14:textId="77777777" w:rsidR="006A19FD" w:rsidRPr="007B6BB9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7B6BB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Účasť zástupcov profesijných alebo stavovských organizácií na absolventských skúškach</w:t>
      </w:r>
    </w:p>
    <w:p w14:paraId="4D0F2D74" w14:textId="77777777" w:rsidR="006A19FD" w:rsidRPr="007B6BB9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14:paraId="5A4F8A0A" w14:textId="27986EEF" w:rsidR="006A19FD" w:rsidRPr="000773D8" w:rsidRDefault="001F3612" w:rsidP="001E0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 predložených </w:t>
      </w:r>
      <w:r w:rsidR="0087108B">
        <w:rPr>
          <w:rFonts w:ascii="Times New Roman" w:eastAsia="Times New Roman" w:hAnsi="Times New Roman"/>
          <w:sz w:val="24"/>
          <w:szCs w:val="24"/>
          <w:lang w:eastAsia="sk-SK"/>
        </w:rPr>
        <w:t>správ stavovských a profesijných organizácií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zrejmé, že </w:t>
      </w:r>
      <w:r w:rsidR="002F24A3">
        <w:rPr>
          <w:rFonts w:ascii="Times New Roman" w:eastAsia="Times New Roman" w:hAnsi="Times New Roman"/>
          <w:sz w:val="24"/>
          <w:szCs w:val="24"/>
          <w:lang w:eastAsia="sk-SK"/>
        </w:rPr>
        <w:t xml:space="preserve">ich nominovaní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sk-SK"/>
        </w:rPr>
        <w:t>ástupc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ovia 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0773D8">
        <w:rPr>
          <w:rFonts w:ascii="Times New Roman" w:eastAsia="Times New Roman" w:hAnsi="Times New Roman"/>
          <w:sz w:val="24"/>
          <w:szCs w:val="24"/>
          <w:lang w:eastAsia="sk-SK"/>
        </w:rPr>
        <w:t>absolventských skúšok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sk-SK"/>
        </w:rPr>
        <w:t>na  stredn</w:t>
      </w:r>
      <w:r w:rsidR="000773D8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sk-SK"/>
        </w:rPr>
        <w:t xml:space="preserve"> odborn</w:t>
      </w:r>
      <w:r w:rsidR="00E16F65">
        <w:rPr>
          <w:rFonts w:ascii="Times New Roman" w:eastAsia="Times New Roman" w:hAnsi="Times New Roman"/>
          <w:sz w:val="24"/>
          <w:szCs w:val="24"/>
          <w:lang w:eastAsia="sk-SK"/>
        </w:rPr>
        <w:t>ých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sk-SK"/>
        </w:rPr>
        <w:t xml:space="preserve"> škol</w:t>
      </w:r>
      <w:r w:rsidR="00E16F65">
        <w:rPr>
          <w:rFonts w:ascii="Times New Roman" w:eastAsia="Times New Roman" w:hAnsi="Times New Roman"/>
          <w:sz w:val="24"/>
          <w:szCs w:val="24"/>
          <w:lang w:eastAsia="sk-SK"/>
        </w:rPr>
        <w:t>ách</w:t>
      </w:r>
      <w:r w:rsidR="006A19FD" w:rsidRPr="006A19FD">
        <w:rPr>
          <w:rFonts w:ascii="Times New Roman" w:eastAsia="Times New Roman" w:hAnsi="Times New Roman"/>
          <w:sz w:val="24"/>
          <w:szCs w:val="24"/>
          <w:lang w:eastAsia="sk-SK"/>
        </w:rPr>
        <w:t>, patriacich do ich pôsobnosti</w:t>
      </w:r>
      <w:r w:rsidR="000773D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C4E49">
        <w:rPr>
          <w:rFonts w:ascii="Times New Roman" w:eastAsia="Times New Roman" w:hAnsi="Times New Roman"/>
          <w:sz w:val="24"/>
          <w:szCs w:val="24"/>
          <w:lang w:eastAsia="sk-SK"/>
        </w:rPr>
        <w:t xml:space="preserve"> v školskom roku 2014/2015 ne</w:t>
      </w:r>
      <w:r w:rsidR="000773D8">
        <w:rPr>
          <w:rFonts w:ascii="Times New Roman" w:eastAsia="Times New Roman" w:hAnsi="Times New Roman"/>
          <w:sz w:val="24"/>
          <w:szCs w:val="24"/>
          <w:lang w:eastAsia="sk-SK"/>
        </w:rPr>
        <w:t>zúčastnili</w:t>
      </w:r>
      <w:r w:rsidR="001C4E4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96320E7" w14:textId="77777777" w:rsidR="006A19FD" w:rsidRPr="000D5AEA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14:paraId="473BF0E9" w14:textId="67FD12AF" w:rsidR="006A19FD" w:rsidRPr="009F1C33" w:rsidRDefault="006A19FD" w:rsidP="006A1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1C33">
        <w:rPr>
          <w:rFonts w:ascii="Times New Roman" w:eastAsia="Times New Roman" w:hAnsi="Times New Roman"/>
          <w:sz w:val="24"/>
          <w:szCs w:val="24"/>
          <w:lang w:eastAsia="cs-CZ"/>
        </w:rPr>
        <w:t xml:space="preserve">Z vyššie uvedených štatistických údajov vyplýva, že účasť zástupcov profesijných a stavovských organizácií na ukončení štúdia na stredných odborných školách je </w:t>
      </w:r>
      <w:r w:rsidR="001C4E49">
        <w:rPr>
          <w:rFonts w:ascii="Times New Roman" w:eastAsia="Times New Roman" w:hAnsi="Times New Roman"/>
          <w:sz w:val="24"/>
          <w:szCs w:val="24"/>
          <w:lang w:eastAsia="cs-CZ"/>
        </w:rPr>
        <w:t>pomerne</w:t>
      </w:r>
      <w:r w:rsidRPr="009F1C33">
        <w:rPr>
          <w:rFonts w:ascii="Times New Roman" w:eastAsia="Times New Roman" w:hAnsi="Times New Roman"/>
          <w:sz w:val="24"/>
          <w:szCs w:val="24"/>
          <w:lang w:eastAsia="cs-CZ"/>
        </w:rPr>
        <w:t xml:space="preserve"> nízka. Uvedené je zrejme spôsobené skutočnosťou, že </w:t>
      </w:r>
      <w:r w:rsidR="00F831CF">
        <w:rPr>
          <w:rFonts w:ascii="Times New Roman" w:eastAsia="Times New Roman" w:hAnsi="Times New Roman"/>
          <w:sz w:val="24"/>
          <w:szCs w:val="24"/>
          <w:lang w:eastAsia="cs-CZ"/>
        </w:rPr>
        <w:t xml:space="preserve">nominovanie zástupcov stavovskej organizácie a profesijnej organizácie je v súlade s § 32 zákona č. 61/2015 Z.z. o odbornom vzdelávaní a príprave dobrovoľná, je uložená ako </w:t>
      </w:r>
      <w:r w:rsidRPr="009F1C33">
        <w:rPr>
          <w:rFonts w:ascii="Times New Roman" w:eastAsia="Times New Roman" w:hAnsi="Times New Roman"/>
          <w:sz w:val="24"/>
          <w:szCs w:val="24"/>
          <w:lang w:eastAsia="cs-CZ"/>
        </w:rPr>
        <w:t>,,možnosť“ a nie ako povinnosť.</w:t>
      </w:r>
    </w:p>
    <w:p w14:paraId="5B905365" w14:textId="77777777" w:rsidR="009F1C33" w:rsidRDefault="009F1C33" w:rsidP="006A19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</w:p>
    <w:p w14:paraId="353C93A0" w14:textId="77777777" w:rsidR="00B9133F" w:rsidRDefault="00B9133F" w:rsidP="006A19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</w:p>
    <w:p w14:paraId="1FF6672E" w14:textId="4BF58830" w:rsidR="006A19FD" w:rsidRPr="007B6BB9" w:rsidRDefault="00B71464" w:rsidP="006A19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7B6BB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Návrhy a odporúčania </w:t>
      </w:r>
      <w:r w:rsidR="006A19FD" w:rsidRPr="007B6BB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zástupcov </w:t>
      </w:r>
      <w:r w:rsidRPr="007B6BB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stavovských a profesijných organizácií smerujúce k zlepšeniu koordinácie odborného vzdelávania a prípravy pre trh práce</w:t>
      </w:r>
      <w:r w:rsidR="006A19FD" w:rsidRPr="007B6BB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:</w:t>
      </w:r>
    </w:p>
    <w:p w14:paraId="5228C881" w14:textId="77777777" w:rsidR="000773D8" w:rsidRPr="000773D8" w:rsidRDefault="000773D8" w:rsidP="006A19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48C3BB6" w14:textId="22C2113D" w:rsidR="0043465A" w:rsidRDefault="0043465A" w:rsidP="006107F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FA0D0B">
        <w:rPr>
          <w:rFonts w:ascii="Times New Roman" w:hAnsi="Times New Roman" w:cs="Times New Roman"/>
          <w:color w:val="auto"/>
        </w:rPr>
        <w:t xml:space="preserve"> predložených</w:t>
      </w:r>
      <w:r>
        <w:rPr>
          <w:rFonts w:ascii="Times New Roman" w:hAnsi="Times New Roman" w:cs="Times New Roman"/>
          <w:color w:val="auto"/>
        </w:rPr>
        <w:t xml:space="preserve"> správ o účasti zástupcu stavovských a profesijných organizácií na ukončovaní štúdia </w:t>
      </w:r>
      <w:r w:rsidR="00C63503">
        <w:rPr>
          <w:rFonts w:ascii="Times New Roman" w:hAnsi="Times New Roman" w:cs="Times New Roman"/>
          <w:color w:val="auto"/>
        </w:rPr>
        <w:t xml:space="preserve">  zhodne všetci navrhuj</w:t>
      </w:r>
      <w:r w:rsidR="00FA0D0B">
        <w:rPr>
          <w:rFonts w:ascii="Times New Roman" w:hAnsi="Times New Roman" w:cs="Times New Roman"/>
          <w:color w:val="auto"/>
        </w:rPr>
        <w:t xml:space="preserve"> a odporúčajú</w:t>
      </w:r>
      <w:r w:rsidR="00C63503">
        <w:rPr>
          <w:rFonts w:ascii="Times New Roman" w:hAnsi="Times New Roman" w:cs="Times New Roman"/>
          <w:color w:val="auto"/>
        </w:rPr>
        <w:t>:</w:t>
      </w:r>
    </w:p>
    <w:p w14:paraId="0804D075" w14:textId="77777777" w:rsidR="00C63503" w:rsidRDefault="00C63503" w:rsidP="006107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F17DC8" w14:textId="4F605CE4" w:rsidR="00C63503" w:rsidRPr="00C63503" w:rsidRDefault="00FA0D0B" w:rsidP="00C6350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Vykonávať odbornú prípravu žiakov </w:t>
      </w:r>
      <w:r w:rsidR="00C63503">
        <w:rPr>
          <w:rFonts w:ascii="Times New Roman" w:eastAsia="Times New Roman" w:hAnsi="Times New Roman" w:cs="Times New Roman"/>
          <w:lang w:eastAsia="cs-CZ"/>
        </w:rPr>
        <w:t>u zamestnávateľa. Zamestnávateľ by mal vstupovať do obsahu vzdelávania a implementovať potrebné učivo z praxe do školských vzdelávacích programov</w:t>
      </w:r>
    </w:p>
    <w:p w14:paraId="3414329E" w14:textId="249044AB" w:rsidR="00C63503" w:rsidRDefault="00FA0D0B" w:rsidP="00C63503">
      <w:pPr>
        <w:pStyle w:val="Defaul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Žiakov stredných odborných škôl z</w:t>
      </w:r>
      <w:r w:rsidR="00C63503">
        <w:rPr>
          <w:rFonts w:ascii="Times New Roman" w:eastAsia="Times New Roman" w:hAnsi="Times New Roman" w:cs="Times New Roman"/>
          <w:lang w:eastAsia="cs-CZ"/>
        </w:rPr>
        <w:t xml:space="preserve">apájať do produktívnej práce, zvýšiť záujem firiem o svojich budúcich zamestnancov </w:t>
      </w:r>
    </w:p>
    <w:p w14:paraId="2D4F9C2D" w14:textId="6FAEE3ED" w:rsidR="00C63503" w:rsidRDefault="00FA0D0B" w:rsidP="00C63503">
      <w:pPr>
        <w:pStyle w:val="Defaul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</w:t>
      </w:r>
      <w:r w:rsidR="00C63503">
        <w:rPr>
          <w:rFonts w:ascii="Times New Roman" w:eastAsia="Times New Roman" w:hAnsi="Times New Roman" w:cs="Times New Roman"/>
          <w:lang w:eastAsia="cs-CZ"/>
        </w:rPr>
        <w:t>skutočňovať nábory žiakov do učebných odborov, zvýšiť motiváciu žiakov k štúdiu</w:t>
      </w:r>
      <w:r>
        <w:rPr>
          <w:rFonts w:ascii="Times New Roman" w:eastAsia="Times New Roman" w:hAnsi="Times New Roman" w:cs="Times New Roman"/>
          <w:lang w:eastAsia="cs-CZ"/>
        </w:rPr>
        <w:t xml:space="preserve"> a príprave na budúce povolanie</w:t>
      </w:r>
    </w:p>
    <w:p w14:paraId="4D2D2458" w14:textId="0E8E4D5F" w:rsidR="00CE4816" w:rsidRPr="00CE4816" w:rsidRDefault="00FA0D0B" w:rsidP="00CE4816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E4816" w:rsidRPr="00991C1B">
        <w:rPr>
          <w:rFonts w:ascii="Times New Roman" w:hAnsi="Times New Roman"/>
        </w:rPr>
        <w:t>otreb</w:t>
      </w:r>
      <w:r>
        <w:rPr>
          <w:rFonts w:ascii="Times New Roman" w:hAnsi="Times New Roman"/>
        </w:rPr>
        <w:t>u</w:t>
      </w:r>
      <w:r w:rsidR="00CE4816" w:rsidRPr="00991C1B">
        <w:rPr>
          <w:rFonts w:ascii="Times New Roman" w:hAnsi="Times New Roman"/>
        </w:rPr>
        <w:t xml:space="preserve"> popularizácie učebných odborov stredných odborných škôl už v prostredí základného školstva a tím podporiť vyšší záujem rodičov aj ži</w:t>
      </w:r>
      <w:r>
        <w:rPr>
          <w:rFonts w:ascii="Times New Roman" w:hAnsi="Times New Roman"/>
        </w:rPr>
        <w:t>akov o potrebné študijné odbory</w:t>
      </w:r>
      <w:r w:rsidR="00CE4816" w:rsidRPr="00CE4816">
        <w:rPr>
          <w:rFonts w:ascii="Times New Roman" w:hAnsi="Times New Roman"/>
        </w:rPr>
        <w:t xml:space="preserve"> </w:t>
      </w:r>
    </w:p>
    <w:p w14:paraId="144ADB53" w14:textId="554B19FE" w:rsidR="00C63503" w:rsidRPr="00C63503" w:rsidRDefault="00FA0D0B" w:rsidP="00C63503">
      <w:pPr>
        <w:pStyle w:val="Defaul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Pre žiakov stredných odborných škôl </w:t>
      </w:r>
      <w:r w:rsidR="00C63503" w:rsidRPr="00C63503">
        <w:rPr>
          <w:rFonts w:ascii="Times New Roman" w:eastAsia="Times New Roman" w:hAnsi="Times New Roman" w:cs="Times New Roman"/>
          <w:lang w:eastAsia="cs-CZ"/>
        </w:rPr>
        <w:t xml:space="preserve">zabezpečovať </w:t>
      </w:r>
      <w:r>
        <w:rPr>
          <w:rFonts w:ascii="Times New Roman" w:eastAsia="Times New Roman" w:hAnsi="Times New Roman" w:cs="Times New Roman"/>
          <w:lang w:eastAsia="cs-CZ"/>
        </w:rPr>
        <w:t>o</w:t>
      </w:r>
      <w:r w:rsidR="00C63503" w:rsidRPr="00C63503">
        <w:rPr>
          <w:rFonts w:ascii="Times New Roman" w:eastAsia="Times New Roman" w:hAnsi="Times New Roman" w:cs="Times New Roman"/>
          <w:lang w:eastAsia="cs-CZ"/>
        </w:rPr>
        <w:t>dborné exkurzie, prednášky a návštevy výrobných podnikov</w:t>
      </w:r>
    </w:p>
    <w:p w14:paraId="46A53A48" w14:textId="228807BA" w:rsidR="00FA0D0B" w:rsidRPr="00FA0D0B" w:rsidRDefault="00FA0D0B" w:rsidP="0061255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FA0D0B">
        <w:rPr>
          <w:rFonts w:ascii="Times New Roman" w:hAnsi="Times New Roman"/>
        </w:rPr>
        <w:t>I</w:t>
      </w:r>
      <w:r w:rsidR="00121110" w:rsidRPr="00FA0D0B">
        <w:rPr>
          <w:rFonts w:ascii="Times New Roman" w:hAnsi="Times New Roman"/>
        </w:rPr>
        <w:t>ntenzívnejšie prepoj</w:t>
      </w:r>
      <w:r w:rsidR="001F78FA" w:rsidRPr="00FA0D0B">
        <w:rPr>
          <w:rFonts w:ascii="Times New Roman" w:hAnsi="Times New Roman"/>
        </w:rPr>
        <w:t>enie</w:t>
      </w:r>
      <w:r w:rsidR="00121110" w:rsidRPr="00FA0D0B">
        <w:rPr>
          <w:rFonts w:ascii="Times New Roman" w:hAnsi="Times New Roman"/>
        </w:rPr>
        <w:t xml:space="preserve"> školy s odborníkmi z praxe, viac ich zapájať do vyučovacieho procesu,</w:t>
      </w:r>
      <w:r w:rsidR="001F78FA" w:rsidRPr="00FA0D0B">
        <w:rPr>
          <w:rFonts w:ascii="Times New Roman" w:hAnsi="Times New Roman"/>
        </w:rPr>
        <w:t xml:space="preserve"> </w:t>
      </w:r>
      <w:r w:rsidR="00121110" w:rsidRPr="00FA0D0B">
        <w:rPr>
          <w:rFonts w:ascii="Times New Roman" w:hAnsi="Times New Roman"/>
        </w:rPr>
        <w:t>viac prepájať teó</w:t>
      </w:r>
      <w:r>
        <w:rPr>
          <w:rFonts w:ascii="Times New Roman" w:hAnsi="Times New Roman"/>
        </w:rPr>
        <w:t>riu s aktuálnou/súčasnou praxou</w:t>
      </w:r>
    </w:p>
    <w:p w14:paraId="77FC70C8" w14:textId="3AE8B1F2" w:rsidR="00121110" w:rsidRPr="00FA0D0B" w:rsidRDefault="00FA0D0B" w:rsidP="0061255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lastRenderedPageBreak/>
        <w:t>Z</w:t>
      </w:r>
      <w:r w:rsidR="00121110" w:rsidRPr="00FA0D0B">
        <w:rPr>
          <w:rFonts w:ascii="Times New Roman" w:hAnsi="Times New Roman"/>
        </w:rPr>
        <w:t>výšiť motiváciu žiakov o ab</w:t>
      </w:r>
      <w:r>
        <w:rPr>
          <w:rFonts w:ascii="Times New Roman" w:hAnsi="Times New Roman"/>
        </w:rPr>
        <w:t>solvovanie individuálnych praxí</w:t>
      </w:r>
    </w:p>
    <w:p w14:paraId="72358526" w14:textId="77777777" w:rsidR="00FA0D0B" w:rsidRPr="00FA0D0B" w:rsidRDefault="00FA0D0B" w:rsidP="0061255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FA0D0B">
        <w:rPr>
          <w:rFonts w:ascii="Times New Roman" w:hAnsi="Times New Roman"/>
        </w:rPr>
        <w:t>M</w:t>
      </w:r>
      <w:r w:rsidR="00991C1B" w:rsidRPr="00FA0D0B">
        <w:rPr>
          <w:rFonts w:ascii="Times New Roman" w:hAnsi="Times New Roman"/>
        </w:rPr>
        <w:t>oderniz</w:t>
      </w:r>
      <w:r w:rsidRPr="00FA0D0B">
        <w:rPr>
          <w:rFonts w:ascii="Times New Roman" w:hAnsi="Times New Roman"/>
        </w:rPr>
        <w:t>ovať</w:t>
      </w:r>
      <w:r w:rsidR="00991C1B" w:rsidRPr="00FA0D0B">
        <w:rPr>
          <w:rFonts w:ascii="Times New Roman" w:hAnsi="Times New Roman"/>
        </w:rPr>
        <w:t xml:space="preserve"> praktick</w:t>
      </w:r>
      <w:r w:rsidRPr="00FA0D0B">
        <w:rPr>
          <w:rFonts w:ascii="Times New Roman" w:hAnsi="Times New Roman"/>
        </w:rPr>
        <w:t>é</w:t>
      </w:r>
      <w:r w:rsidR="00991C1B" w:rsidRPr="00FA0D0B">
        <w:rPr>
          <w:rFonts w:ascii="Times New Roman" w:hAnsi="Times New Roman"/>
        </w:rPr>
        <w:t xml:space="preserve"> učebn</w:t>
      </w:r>
      <w:r w:rsidRPr="00FA0D0B">
        <w:rPr>
          <w:rFonts w:ascii="Times New Roman" w:hAnsi="Times New Roman"/>
        </w:rPr>
        <w:t>e</w:t>
      </w:r>
      <w:r w:rsidR="00991C1B" w:rsidRPr="00FA0D0B">
        <w:rPr>
          <w:rFonts w:ascii="Times New Roman" w:hAnsi="Times New Roman"/>
        </w:rPr>
        <w:t>, laboratóri</w:t>
      </w:r>
      <w:r w:rsidRPr="00FA0D0B">
        <w:rPr>
          <w:rFonts w:ascii="Times New Roman" w:hAnsi="Times New Roman"/>
        </w:rPr>
        <w:t>á</w:t>
      </w:r>
      <w:r w:rsidR="00991C1B" w:rsidRPr="00FA0D0B">
        <w:rPr>
          <w:rFonts w:ascii="Times New Roman" w:hAnsi="Times New Roman"/>
        </w:rPr>
        <w:t xml:space="preserve">, </w:t>
      </w:r>
      <w:r w:rsidR="00121110" w:rsidRPr="00FA0D0B">
        <w:rPr>
          <w:rFonts w:ascii="Times New Roman" w:hAnsi="Times New Roman"/>
        </w:rPr>
        <w:t xml:space="preserve">vybaviť školy modernejšou strojovou technikou bežne používanou v praxi, </w:t>
      </w:r>
      <w:r w:rsidR="00991C1B" w:rsidRPr="00FA0D0B">
        <w:rPr>
          <w:rFonts w:ascii="Times New Roman" w:hAnsi="Times New Roman"/>
        </w:rPr>
        <w:t xml:space="preserve">didaktickými a praktickými pomôckami, </w:t>
      </w:r>
      <w:r w:rsidR="00121110" w:rsidRPr="00FA0D0B">
        <w:rPr>
          <w:rFonts w:ascii="Times New Roman" w:hAnsi="Times New Roman"/>
        </w:rPr>
        <w:t xml:space="preserve"> univerzálny</w:t>
      </w:r>
      <w:r w:rsidR="00991C1B" w:rsidRPr="00FA0D0B">
        <w:rPr>
          <w:rFonts w:ascii="Times New Roman" w:hAnsi="Times New Roman"/>
        </w:rPr>
        <w:t>mi</w:t>
      </w:r>
      <w:r w:rsidR="00121110" w:rsidRPr="00FA0D0B">
        <w:rPr>
          <w:rFonts w:ascii="Times New Roman" w:hAnsi="Times New Roman"/>
        </w:rPr>
        <w:t xml:space="preserve"> aj špecializovaný</w:t>
      </w:r>
      <w:r w:rsidR="00991C1B" w:rsidRPr="00FA0D0B">
        <w:rPr>
          <w:rFonts w:ascii="Times New Roman" w:hAnsi="Times New Roman"/>
        </w:rPr>
        <w:t>mi</w:t>
      </w:r>
      <w:r w:rsidR="00121110" w:rsidRPr="00FA0D0B">
        <w:rPr>
          <w:rFonts w:ascii="Times New Roman" w:hAnsi="Times New Roman"/>
        </w:rPr>
        <w:t xml:space="preserve"> stroj</w:t>
      </w:r>
      <w:r w:rsidR="00991C1B" w:rsidRPr="00FA0D0B">
        <w:rPr>
          <w:rFonts w:ascii="Times New Roman" w:hAnsi="Times New Roman"/>
        </w:rPr>
        <w:t>mi</w:t>
      </w:r>
      <w:r w:rsidR="00121110" w:rsidRPr="00FA0D0B">
        <w:rPr>
          <w:rFonts w:ascii="Times New Roman" w:hAnsi="Times New Roman"/>
        </w:rPr>
        <w:t>, diagnostikou</w:t>
      </w:r>
      <w:r w:rsidR="00F471C6" w:rsidRPr="00FA0D0B">
        <w:rPr>
          <w:rFonts w:ascii="Times New Roman" w:hAnsi="Times New Roman"/>
        </w:rPr>
        <w:t xml:space="preserve"> napr.</w:t>
      </w:r>
      <w:r w:rsidR="00121110" w:rsidRPr="00FA0D0B">
        <w:rPr>
          <w:rFonts w:ascii="Times New Roman" w:hAnsi="Times New Roman"/>
        </w:rPr>
        <w:t xml:space="preserve"> v opravárenstve.</w:t>
      </w:r>
      <w:r w:rsidR="00F471C6" w:rsidRPr="00FA0D0B">
        <w:rPr>
          <w:rFonts w:ascii="Times New Roman" w:hAnsi="Times New Roman"/>
        </w:rPr>
        <w:t xml:space="preserve"> modernizovať pracoviská praktickej výučby</w:t>
      </w:r>
    </w:p>
    <w:p w14:paraId="0BD6F62E" w14:textId="7E8BCCB9" w:rsidR="00121110" w:rsidRPr="00FA0D0B" w:rsidRDefault="00FA0D0B" w:rsidP="00612556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U</w:t>
      </w:r>
      <w:r w:rsidR="00F471C6" w:rsidRPr="00FA0D0B">
        <w:rPr>
          <w:rFonts w:ascii="Times New Roman" w:hAnsi="Times New Roman"/>
        </w:rPr>
        <w:t>žši</w:t>
      </w:r>
      <w:r>
        <w:rPr>
          <w:rFonts w:ascii="Times New Roman" w:hAnsi="Times New Roman"/>
        </w:rPr>
        <w:t>u</w:t>
      </w:r>
      <w:r w:rsidR="00F471C6" w:rsidRPr="00FA0D0B">
        <w:rPr>
          <w:rFonts w:ascii="Times New Roman" w:hAnsi="Times New Roman"/>
        </w:rPr>
        <w:t xml:space="preserve"> </w:t>
      </w:r>
      <w:r w:rsidR="00121110" w:rsidRPr="00FA0D0B">
        <w:rPr>
          <w:rFonts w:ascii="Times New Roman" w:hAnsi="Times New Roman"/>
        </w:rPr>
        <w:t>spolupr</w:t>
      </w:r>
      <w:r w:rsidR="00F471C6" w:rsidRPr="00FA0D0B">
        <w:rPr>
          <w:rFonts w:ascii="Times New Roman" w:hAnsi="Times New Roman"/>
        </w:rPr>
        <w:t>ác</w:t>
      </w:r>
      <w:r>
        <w:rPr>
          <w:rFonts w:ascii="Times New Roman" w:hAnsi="Times New Roman"/>
        </w:rPr>
        <w:t>u</w:t>
      </w:r>
      <w:r w:rsidR="00F471C6" w:rsidRPr="00FA0D0B">
        <w:rPr>
          <w:rFonts w:ascii="Times New Roman" w:hAnsi="Times New Roman"/>
        </w:rPr>
        <w:t xml:space="preserve"> školy</w:t>
      </w:r>
      <w:r w:rsidR="00121110" w:rsidRPr="00FA0D0B">
        <w:rPr>
          <w:rFonts w:ascii="Times New Roman" w:hAnsi="Times New Roman"/>
        </w:rPr>
        <w:t xml:space="preserve"> s podnikateľskými subjektmi pre lepšie </w:t>
      </w:r>
      <w:r w:rsidR="001F78FA" w:rsidRPr="00FA0D0B">
        <w:rPr>
          <w:rFonts w:ascii="Times New Roman" w:hAnsi="Times New Roman"/>
        </w:rPr>
        <w:t>uplatnenie</w:t>
      </w:r>
      <w:r w:rsidR="00121110" w:rsidRPr="00FA0D0B">
        <w:rPr>
          <w:rFonts w:ascii="Times New Roman" w:hAnsi="Times New Roman"/>
        </w:rPr>
        <w:t xml:space="preserve"> absolventov do praxe</w:t>
      </w:r>
    </w:p>
    <w:p w14:paraId="4C87B83A" w14:textId="3B5F25DB" w:rsidR="00CE4816" w:rsidRDefault="00FA0D0B" w:rsidP="00CE4816">
      <w:pPr>
        <w:pStyle w:val="Default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Upraviť </w:t>
      </w:r>
      <w:r w:rsidR="00121110" w:rsidRPr="00F471C6">
        <w:rPr>
          <w:rFonts w:ascii="Times New Roman" w:hAnsi="Times New Roman" w:cs="Times New Roman"/>
        </w:rPr>
        <w:t>prísn</w:t>
      </w:r>
      <w:r>
        <w:rPr>
          <w:rFonts w:ascii="Times New Roman" w:hAnsi="Times New Roman" w:cs="Times New Roman"/>
        </w:rPr>
        <w:t>ejšie</w:t>
      </w:r>
      <w:r w:rsidR="00121110" w:rsidRPr="00F471C6">
        <w:rPr>
          <w:rFonts w:ascii="Times New Roman" w:hAnsi="Times New Roman" w:cs="Times New Roman"/>
        </w:rPr>
        <w:t xml:space="preserve"> kritéria pre prijímanie absolventov </w:t>
      </w:r>
      <w:r>
        <w:rPr>
          <w:rFonts w:ascii="Times New Roman" w:hAnsi="Times New Roman" w:cs="Times New Roman"/>
        </w:rPr>
        <w:t>základných škôl na stredné odborné školy.</w:t>
      </w:r>
      <w:r w:rsidR="00CE4816">
        <w:rPr>
          <w:rFonts w:ascii="Times New Roman" w:hAnsi="Times New Roman"/>
        </w:rPr>
        <w:t xml:space="preserve"> </w:t>
      </w:r>
    </w:p>
    <w:p w14:paraId="39F5B8DF" w14:textId="77777777" w:rsidR="001E008D" w:rsidRDefault="001E008D" w:rsidP="001E0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45496" w14:textId="0DB357E6" w:rsidR="00121110" w:rsidRPr="00FA0D0B" w:rsidRDefault="00CE4816" w:rsidP="001E00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0D0B">
        <w:rPr>
          <w:rFonts w:ascii="Times New Roman" w:hAnsi="Times New Roman"/>
          <w:b/>
          <w:i/>
          <w:sz w:val="24"/>
          <w:szCs w:val="24"/>
        </w:rPr>
        <w:t>Z</w:t>
      </w:r>
      <w:r w:rsidR="003F3C04" w:rsidRPr="00FA0D0B">
        <w:rPr>
          <w:rFonts w:ascii="Times New Roman" w:hAnsi="Times New Roman"/>
          <w:b/>
          <w:i/>
          <w:sz w:val="24"/>
          <w:szCs w:val="24"/>
        </w:rPr>
        <w:t>áver</w:t>
      </w:r>
    </w:p>
    <w:p w14:paraId="343FC954" w14:textId="77777777" w:rsidR="00CE4816" w:rsidRPr="00CE4816" w:rsidRDefault="00CE4816" w:rsidP="00CE48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922DF87" w14:textId="3C00D489" w:rsidR="001E008D" w:rsidRDefault="00FA0D0B" w:rsidP="003F3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správ predložených stavovskými a profesijnými organizáciami o ich účasti na ukončovaní štúdia vyplýva, že účasť je</w:t>
      </w:r>
      <w:r w:rsidR="00BF2405">
        <w:rPr>
          <w:rFonts w:ascii="Times New Roman" w:eastAsia="Times New Roman" w:hAnsi="Times New Roman"/>
          <w:sz w:val="24"/>
          <w:szCs w:val="24"/>
          <w:lang w:eastAsia="cs-CZ"/>
        </w:rPr>
        <w:t xml:space="preserve"> veľmi nízka. O tejto skutočnosti svedčí fakt, že len malá časť delegovaných zástupcov sa reálne zúčastnila maturitných</w:t>
      </w:r>
      <w:r w:rsidR="0030350C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BF2405">
        <w:rPr>
          <w:rFonts w:ascii="Times New Roman" w:eastAsia="Times New Roman" w:hAnsi="Times New Roman"/>
          <w:sz w:val="24"/>
          <w:szCs w:val="24"/>
          <w:lang w:eastAsia="cs-CZ"/>
        </w:rPr>
        <w:t xml:space="preserve"> záverečných skúšok na stredných odborných školách. </w:t>
      </w:r>
      <w:r w:rsidR="0030350C">
        <w:rPr>
          <w:rFonts w:ascii="Times New Roman" w:eastAsia="Times New Roman" w:hAnsi="Times New Roman"/>
          <w:sz w:val="24"/>
          <w:szCs w:val="24"/>
          <w:lang w:eastAsia="cs-CZ"/>
        </w:rPr>
        <w:t xml:space="preserve">Na absolventských skúškach sa nezúčastnila žiadna stavovská a profesijná organizácia. </w:t>
      </w:r>
      <w:r w:rsidR="00BF2405">
        <w:rPr>
          <w:rFonts w:ascii="Times New Roman" w:eastAsia="Times New Roman" w:hAnsi="Times New Roman"/>
          <w:sz w:val="24"/>
          <w:szCs w:val="24"/>
          <w:lang w:eastAsia="cs-CZ"/>
        </w:rPr>
        <w:t>Uvedené je zrejme spôsobené d</w:t>
      </w:r>
      <w:r w:rsidR="00B27207" w:rsidRPr="003F3C04">
        <w:rPr>
          <w:rFonts w:ascii="Times New Roman" w:eastAsia="Times New Roman" w:hAnsi="Times New Roman"/>
          <w:sz w:val="24"/>
          <w:szCs w:val="24"/>
          <w:lang w:eastAsia="cs-CZ"/>
        </w:rPr>
        <w:t>obrovoľnosť</w:t>
      </w:r>
      <w:r w:rsidR="00BF2405">
        <w:rPr>
          <w:rFonts w:ascii="Times New Roman" w:eastAsia="Times New Roman" w:hAnsi="Times New Roman"/>
          <w:sz w:val="24"/>
          <w:szCs w:val="24"/>
          <w:lang w:eastAsia="cs-CZ"/>
        </w:rPr>
        <w:t>ou a nie povinnosťou účasti</w:t>
      </w:r>
      <w:r w:rsidR="00B27207" w:rsidRPr="003F3C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F2405">
        <w:rPr>
          <w:rFonts w:ascii="Times New Roman" w:eastAsia="Times New Roman" w:hAnsi="Times New Roman"/>
          <w:sz w:val="24"/>
          <w:szCs w:val="24"/>
          <w:lang w:eastAsia="cs-CZ"/>
        </w:rPr>
        <w:t>zástupcov stavovských a profesijných organizácií na ukončovaní štúdia, ako to vyplýva z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 xml:space="preserve">o zákona </w:t>
      </w:r>
      <w:r w:rsidR="001E008D">
        <w:rPr>
          <w:rFonts w:ascii="Times New Roman" w:eastAsia="Times New Roman" w:hAnsi="Times New Roman"/>
          <w:sz w:val="24"/>
          <w:szCs w:val="24"/>
          <w:lang w:eastAsia="cs-CZ"/>
        </w:rPr>
        <w:t xml:space="preserve">č. 61/2015 Z.z. 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1E008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76993">
        <w:rPr>
          <w:rFonts w:ascii="Times New Roman" w:eastAsia="Times New Roman" w:hAnsi="Times New Roman"/>
          <w:sz w:val="24"/>
          <w:szCs w:val="24"/>
          <w:lang w:eastAsia="cs-CZ"/>
        </w:rPr>
        <w:t>odbornom</w:t>
      </w:r>
      <w:r w:rsidR="001E008D">
        <w:rPr>
          <w:rFonts w:ascii="Times New Roman" w:eastAsia="Times New Roman" w:hAnsi="Times New Roman"/>
          <w:sz w:val="24"/>
          <w:szCs w:val="24"/>
          <w:lang w:eastAsia="cs-CZ"/>
        </w:rPr>
        <w:t xml:space="preserve"> vzdelávaní a príprave a o zmene a doplnení niektorých zákonov.</w:t>
      </w:r>
    </w:p>
    <w:p w14:paraId="215FDD65" w14:textId="69E60FB6" w:rsidR="00BF2405" w:rsidRDefault="001E008D" w:rsidP="003F3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28FDDAA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437BD1E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95EF334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AA4DA6D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15C347A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95624F4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8D48F8F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D9468F3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18AD978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6C583FF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2659857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7E921F1D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6C08FC0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4578819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D0D0EA3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F737BD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E4954C3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E459841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EEEC02A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84F0132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9EDB167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5EBBBF3E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63A48CE8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39B019CE" w14:textId="77777777" w:rsidR="007B3831" w:rsidRDefault="007B3831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94EFB61" w14:textId="77777777" w:rsidR="0063682B" w:rsidRDefault="0063682B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FC95A1" w14:textId="1D050CCB" w:rsidR="003F3C04" w:rsidRPr="00BF2405" w:rsidRDefault="003F3C04" w:rsidP="003F3C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BF2405">
        <w:rPr>
          <w:rFonts w:ascii="Times New Roman" w:eastAsia="Times New Roman" w:hAnsi="Times New Roman"/>
          <w:sz w:val="20"/>
          <w:szCs w:val="20"/>
          <w:lang w:eastAsia="cs-CZ"/>
        </w:rPr>
        <w:t>Príloha 1</w:t>
      </w:r>
    </w:p>
    <w:p w14:paraId="665A972C" w14:textId="71FB4C21" w:rsidR="00501067" w:rsidRPr="00BF2405" w:rsidRDefault="00501067" w:rsidP="0050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F2405">
        <w:rPr>
          <w:rFonts w:ascii="Times New Roman" w:hAnsi="Times New Roman"/>
          <w:bCs/>
          <w:color w:val="000000"/>
          <w:sz w:val="20"/>
          <w:szCs w:val="20"/>
        </w:rPr>
        <w:t>Vecná pôsobnosť stavovských a profesijných organizácií v oblasti odborného vzdelávania a</w:t>
      </w:r>
      <w:r w:rsidR="007E4169" w:rsidRPr="00BF240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F2405">
        <w:rPr>
          <w:rFonts w:ascii="Times New Roman" w:hAnsi="Times New Roman"/>
          <w:bCs/>
          <w:color w:val="000000"/>
          <w:sz w:val="20"/>
          <w:szCs w:val="20"/>
        </w:rPr>
        <w:t>prípravy</w:t>
      </w:r>
    </w:p>
    <w:p w14:paraId="360E6559" w14:textId="77777777" w:rsidR="0063682B" w:rsidRDefault="0063682B" w:rsidP="00636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E208C4F" w14:textId="4A758B34" w:rsidR="0063682B" w:rsidRPr="007B166F" w:rsidRDefault="0063682B" w:rsidP="00636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1B388A5" w14:textId="77777777" w:rsidR="0063682B" w:rsidRPr="009C050A" w:rsidRDefault="0063682B" w:rsidP="00636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C050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VECNÁ PÔSOBNOSŤ PRÍSLUŠNEJ STAVOVSKEJ ORGANIZÁCIE ALEBO PRÍSLUŠNEJ PROFESIJNEJ ORGANIZÁCIE K JEDNOTLIVÝM SKUPINÁM ODBOROV VZDELÁVANIA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68"/>
        <w:gridCol w:w="2627"/>
        <w:gridCol w:w="3576"/>
      </w:tblGrid>
      <w:tr w:rsidR="0063682B" w:rsidRPr="009C050A" w14:paraId="351746FC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DE287" w14:textId="77777777" w:rsidR="0063682B" w:rsidRPr="009C050A" w:rsidRDefault="0063682B" w:rsidP="0061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844EA" w14:textId="77777777" w:rsidR="0063682B" w:rsidRPr="009C050A" w:rsidRDefault="0063682B" w:rsidP="0061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Skupina študijných odborov a učebných odborov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87FD3" w14:textId="77777777" w:rsidR="0063682B" w:rsidRPr="009C050A" w:rsidRDefault="0063682B" w:rsidP="0061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Vecná pôsobnosť príslušnej stavovskej organizácie alebo príslušnej profesijnej organizácie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CB20C" w14:textId="77777777" w:rsidR="0063682B" w:rsidRPr="009C050A" w:rsidRDefault="0063682B" w:rsidP="0061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Spolupracujúca stavovská organizácia alebo profesijná organizácia</w:t>
            </w:r>
          </w:p>
        </w:tc>
      </w:tr>
      <w:tr w:rsidR="0063682B" w:rsidRPr="009C050A" w14:paraId="4F5E82BA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AF61B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04B5E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 Fyzikálno-matematické vedy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81BA7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je určená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9D2F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682B" w:rsidRPr="009C050A" w14:paraId="70363EE3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9FA3A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1690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 Baníctvo, geológia a geotechnika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7D37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banská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766FA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</w:tr>
      <w:tr w:rsidR="0063682B" w:rsidRPr="009C050A" w14:paraId="7893ED93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781E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F431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 Hutníctvo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D06BE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894D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 priemyselná komora a Asociácia zamestnávateľských zväzov a združení Slovenskej republiky</w:t>
            </w:r>
          </w:p>
        </w:tc>
      </w:tr>
      <w:tr w:rsidR="0063682B" w:rsidRPr="009C050A" w14:paraId="1D955C1C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E13F1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FED6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 Strojárstvo a ostatná kovospracúvacia výroba 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25A2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 priemyselná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8B787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republiky, Slovenská živnostenská komora a Republiková únia zamestnávateľov</w:t>
            </w:r>
          </w:p>
        </w:tc>
      </w:tr>
      <w:tr w:rsidR="0063682B" w:rsidRPr="009C050A" w14:paraId="4C95B721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B5C2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A3E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 Strojárstvo a ostatná kovospracúvacia výroba II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D973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 priemyselná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E5CA9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republiky, Slovenská živnostenská komora a Republiková únia zamestnávateľov</w:t>
            </w:r>
          </w:p>
        </w:tc>
      </w:tr>
      <w:tr w:rsidR="0063682B" w:rsidRPr="009C050A" w14:paraId="67CED7F5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F510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3F319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 Elektrotechnika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1EE7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 priemyselná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D952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 a Republiková únia zamestnávateľov</w:t>
            </w:r>
          </w:p>
        </w:tc>
      </w:tr>
      <w:tr w:rsidR="0063682B" w:rsidRPr="009C050A" w14:paraId="06D26ADA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FC28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747F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 Technická chémia silikátov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0465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 združení Slovenskej republiky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74442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 priemyselná komora</w:t>
            </w:r>
          </w:p>
        </w:tc>
      </w:tr>
      <w:tr w:rsidR="0063682B" w:rsidRPr="009C050A" w14:paraId="59AF6110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9DCA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1BF2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28 Technická </w:t>
            </w: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a aplikovaná chémia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E99D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Asociácia </w:t>
            </w: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zamestnávateľských zväzov a združení Slovenskej republiky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0141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Slovenská obchodná a priemyselná </w:t>
            </w: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komora a Slovenská poľnohospodárska a potravinárska komora</w:t>
            </w:r>
          </w:p>
        </w:tc>
      </w:tr>
      <w:tr w:rsidR="0063682B" w:rsidRPr="009C050A" w14:paraId="2385A704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B912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D80E7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 Potravinárstvo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70D09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BFA8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zamestnávateľov, Asociácia zamestnávateľských zväzov a združení Slovenskej republiky a Slovenská živnostenská komora</w:t>
            </w:r>
          </w:p>
        </w:tc>
      </w:tr>
      <w:tr w:rsidR="0063682B" w:rsidRPr="009C050A" w14:paraId="45A422E3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505DE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EF61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31 Textil a odevníctvo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354B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 priemyselná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5456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</w:t>
            </w:r>
          </w:p>
        </w:tc>
      </w:tr>
      <w:tr w:rsidR="0063682B" w:rsidRPr="009C050A" w14:paraId="2474D840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B273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C777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32 Spracúvanie kože, kožušín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1090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 priemyselná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D6E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 a Asociácia zamestnávateľských zväzov a združení Slovenskej republiky</w:t>
            </w:r>
          </w:p>
        </w:tc>
      </w:tr>
      <w:tr w:rsidR="0063682B" w:rsidRPr="009C050A" w14:paraId="0AAF0672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8C68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5C4A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33 Spracúvanie dreva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5DB5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C539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 priemyselná komora, Slovenská živnostenská komora a Asociácia zamestnávateľských zväzov a združení Slovenskej republiky</w:t>
            </w:r>
          </w:p>
        </w:tc>
      </w:tr>
      <w:tr w:rsidR="0063682B" w:rsidRPr="009C050A" w14:paraId="484B2269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7074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FDE2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34 Polygrafia a médiá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B500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 združení Slovenskej republiky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9AA6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 priemyselná komora a Republiková únia zamestnávateľov</w:t>
            </w:r>
          </w:p>
        </w:tc>
      </w:tr>
      <w:tr w:rsidR="0063682B" w:rsidRPr="009C050A" w14:paraId="33649B33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3ECB1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BEDE9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36 Stavebníctvo, geodézia a kartografia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2D28B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4029A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 priemyselná komora, Slovenská živnostenská komora, Asociácia zamestnávateľských zväzov a združení Slovenskej republiky a Slovenská banská komora</w:t>
            </w:r>
          </w:p>
        </w:tc>
      </w:tr>
      <w:tr w:rsidR="0063682B" w:rsidRPr="009C050A" w14:paraId="6D44FDCD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2B16B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D310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37 Doprava, pošty a telekomunikácie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FE877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 združení Slovenskej republiky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5D2C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obchodná a priemyselná komora a Republiková únia zamestnávateľov</w:t>
            </w:r>
          </w:p>
        </w:tc>
      </w:tr>
      <w:tr w:rsidR="0063682B" w:rsidRPr="009C050A" w14:paraId="21693CEE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9A11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53CA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39 Špeciálne technické odbory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3C77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7746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</w:t>
            </w:r>
          </w:p>
        </w:tc>
      </w:tr>
      <w:tr w:rsidR="0063682B" w:rsidRPr="009C050A" w14:paraId="53680073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3421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A4437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42 Poľnohospodárstvo, lesné hospodárstvo </w:t>
            </w: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a rozvoj vidieka 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DB1B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Slovenská poľnohospodárska </w:t>
            </w: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a potravinárska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D6E9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Slovenská lesnícka komora a Asociácia zamestnávateľských </w:t>
            </w: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zväzov a združení Slovenskej republiky</w:t>
            </w:r>
          </w:p>
        </w:tc>
      </w:tr>
      <w:tr w:rsidR="0063682B" w:rsidRPr="009C050A" w14:paraId="6C678005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63011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ED26B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43 Veterinárske vedy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B2F5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3AF4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 a Komora veterinárnych lekárov Slovenskej republiky</w:t>
            </w:r>
          </w:p>
        </w:tc>
      </w:tr>
      <w:tr w:rsidR="0063682B" w:rsidRPr="009C050A" w14:paraId="4317A94B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7221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4E51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 Poľnohospodárstvo, lesné hospodárstvo a rozvoj vidieka II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5776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poľnohospodárska a potravinárska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362F2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lesnícka komora a Asociácia zamestnávateľských zväzov a združení Slovenskej republiky</w:t>
            </w:r>
          </w:p>
        </w:tc>
      </w:tr>
      <w:tr w:rsidR="0063682B" w:rsidRPr="009C050A" w14:paraId="36585DBD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671BE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67B8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53 Zdravotnícke odbory vzdelávania na stredných zdravotníckych školách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D233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komora medicínsko-technických pracovníkov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D9C0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komora sestier a pôrodných asistentiek, Slovenská komora fyzioterapeutov, Slovenská komora zdravotníckych záchranárov, Slovenská komora ortopedických technikov a Slovenská komora zubných technikov</w:t>
            </w:r>
          </w:p>
        </w:tc>
      </w:tr>
      <w:tr w:rsidR="0063682B" w:rsidRPr="009C050A" w14:paraId="56F22BB3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0EC4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5711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62 Ekonomické vedy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FEDE7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65E0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republiky, Slovenská obchodná a priemyselná komora a Slovenská živnostenská komora</w:t>
            </w:r>
          </w:p>
        </w:tc>
      </w:tr>
      <w:tr w:rsidR="0063682B" w:rsidRPr="009C050A" w14:paraId="201EB9A1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3673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B861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63 Ekonomika a organizácia, obchod a služby 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4FE4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B80F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republiky, Slovenská obchodná a priemyselná komora a Slovenská živnostenská komora</w:t>
            </w:r>
          </w:p>
        </w:tc>
      </w:tr>
      <w:tr w:rsidR="0063682B" w:rsidRPr="009C050A" w14:paraId="0454F5E1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416A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6C5B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64 Ekonomika a organizácia, obchod a služby II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CA3C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Republiková únia zamestnávateľov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4B587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republiky, Slovenská obchodná a priemyselná komora a Slovenská živnostenská komora</w:t>
            </w:r>
          </w:p>
        </w:tc>
      </w:tr>
      <w:tr w:rsidR="0063682B" w:rsidRPr="009C050A" w14:paraId="3E673705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979B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EB46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68 Právne vedy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A936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je určená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4B52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682B" w:rsidRPr="009C050A" w14:paraId="6101991A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69316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5656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72 Publicistika, knihovníctvo a vedecké informácie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09D1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je určená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6CEA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682B" w:rsidRPr="009C050A" w14:paraId="7FBBC497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B7781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4496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75 Pedagogické vedy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107C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je určená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5286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682B" w:rsidRPr="009C050A" w14:paraId="408F4C32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1D881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BAC3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76 Učiteľstvo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BCF7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je určená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3F01D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682B" w:rsidRPr="009C050A" w14:paraId="6DF71A98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AF4D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F461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82 Umenie a umeleckoremeselná tvorba 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37AB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živnostenská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831F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 a Republiková únia zamestnávateľov</w:t>
            </w:r>
          </w:p>
        </w:tc>
      </w:tr>
      <w:tr w:rsidR="0063682B" w:rsidRPr="009C050A" w14:paraId="3D98919C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42D5C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CEAE0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85 Umenie a umeleckoremeselná tvorba II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B8604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Slovenská živnostenská komora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11DFE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Asociácia zamestnávateľských zväzov a združení Slovenskej republiky a Republiková únia zamestnávateľov</w:t>
            </w:r>
          </w:p>
        </w:tc>
      </w:tr>
      <w:tr w:rsidR="0063682B" w:rsidRPr="009C050A" w14:paraId="1A93E084" w14:textId="77777777" w:rsidTr="0061255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6DCB9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E70E3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92 Bezpečnostné služby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D7978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je určená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9FBF5" w14:textId="77777777" w:rsidR="0063682B" w:rsidRPr="009C050A" w:rsidRDefault="0063682B" w:rsidP="00612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C05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618DAD5" w14:textId="77777777" w:rsidR="0063682B" w:rsidRPr="009C050A" w:rsidRDefault="0063682B" w:rsidP="0063682B">
      <w:pPr>
        <w:rPr>
          <w:rFonts w:ascii="Times New Roman" w:hAnsi="Times New Roman"/>
          <w:sz w:val="24"/>
          <w:szCs w:val="24"/>
        </w:rPr>
      </w:pPr>
    </w:p>
    <w:p w14:paraId="7C3BC501" w14:textId="09D92EE4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Pre informáciu predkladáme účasť stavovskej organizácie a profesijnej organizácie na koordinácii odborného vzdelávania a prípravy pre trh práce na celoštátnej úrovni, upravenú v § 32 zákona č. 61/2015 Z. z. o odbornom vzdelávaní a príprave a o zmene a doplnení niektorých zákonov:</w:t>
      </w:r>
    </w:p>
    <w:p w14:paraId="1C01B146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A924A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1. Stavovská organizácia a profesijná organizácia poskytuje podklady a súčinnosť Ústrediu práce, sociálnych vecí a rodiny pri tvorbe analýz a prognóz vývoja na trhu práce.</w:t>
      </w:r>
    </w:p>
    <w:p w14:paraId="32CADBC7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E324B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2. Stavovská organizácia a profesijná organizácia v oblasti odborného vzdelávania a prípravy</w:t>
      </w:r>
    </w:p>
    <w:p w14:paraId="57BC2848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a) prerokúva školský vzdelávací program pre odborné vzdelávanie a prípravu so strednou odbornou školou, ak sa neuplatňuje postup podľa § 21 ods. 1,</w:t>
      </w:r>
    </w:p>
    <w:p w14:paraId="68624578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b) podieľa sa na tvorbe normatívov materiálno-technického a priestorového zabezpečenia,</w:t>
      </w:r>
    </w:p>
    <w:p w14:paraId="1D0FFB57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c) podieľa sa na tvorbe profilov absolventov jednotlivých študijných odborov a učebných odborov,</w:t>
      </w:r>
    </w:p>
    <w:p w14:paraId="0929FDEB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d) zabezpečuje prípravu inštruktorov a vydáva potvrdenia o absolvovaní prípravy inštruktora,</w:t>
      </w:r>
    </w:p>
    <w:p w14:paraId="2AFED486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e) podieľa sa na posudzovaní obsahu učebníc a učebných textov,</w:t>
      </w:r>
    </w:p>
    <w:p w14:paraId="0D2BDC58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f) vyjadruje sa k obsahu záverečnej skúšky, odbornej zložky maturitnej skúšky a absolventskej skúšky,</w:t>
      </w:r>
    </w:p>
    <w:p w14:paraId="66B0D044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g) môže delegovať zástupcu do skúšobnej komisie pre záverečnú skúšku, predmetovej maturitnej komisie pre odbornú zložku maturitnej skúšky a skúšobnej komisie pre absolventskú skúšku,</w:t>
      </w:r>
    </w:p>
    <w:p w14:paraId="2832B8AA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h) rozhoduje o oprávnení strednej odbornej školy používať označenie centrum odborného vzdelávania a prípravy,</w:t>
      </w:r>
    </w:p>
    <w:p w14:paraId="3CE3242E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i) vedie evidenciu a archivuje rozhodnutia podľa písmena h),</w:t>
      </w:r>
    </w:p>
    <w:p w14:paraId="70EFCB0E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j) zverejňuje na svojom webovom sídle zoznam stredných odborných škôl podľa písmena h) a</w:t>
      </w:r>
    </w:p>
    <w:p w14:paraId="3A4DC9D4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k) predkladá ministerstvu školstva návrhy na určenie vecnej pôsobnosti príslušnej stavovskej organizácie alebo príslušnej profesijnej organizácie k jednotlivým študijným odborom a jednotlivým učebným odborom.</w:t>
      </w:r>
    </w:p>
    <w:p w14:paraId="554499AA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7EBD2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lastRenderedPageBreak/>
        <w:t>3. Stavovská organizácia a profesijná organizácia v systéme duálneho vzdelávania</w:t>
      </w:r>
    </w:p>
    <w:p w14:paraId="67AEA1B1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a) vykonáva overenie spôsobilosti zamestnávateľa k študijnému odboru alebo k učebnému odboru podľa svojej vecnej pôsobnosti,</w:t>
      </w:r>
    </w:p>
    <w:p w14:paraId="317DEB4D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b) vedie a zverejňuje na svojom webovom sídle zoznam odborne spôsobilých osôb na overenie spôsobilosti zamestnávateľa,</w:t>
      </w:r>
    </w:p>
    <w:p w14:paraId="46B8C74F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c) vedie evidenciu vydaných osvedčení,</w:t>
      </w:r>
    </w:p>
    <w:p w14:paraId="39C2EF7A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d) zverejňuje na svojom webovom sídle zoznam pracovísk praktického vyučovania,</w:t>
      </w:r>
    </w:p>
    <w:p w14:paraId="0669E3A1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e) podieľa sa na tvorbe vzorového učebného plánu pre príslušný študijný odbor, vzorového učebného plánu pre príslušný učebný odbor, vzorových učebných osnov pre jednotlivé odborné vyučovacie predmety príslušného študijného odboru a vzorových učebných osnov pre jednotlivé odborné vyučovacie predmety príslušného učebného odboru,</w:t>
      </w:r>
    </w:p>
    <w:p w14:paraId="274E55D5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f) poskytuje súčinnosť Štátnej školskej inšpekcii pri výkone kontrolnej činnosti na pracovisku praktického vyučovania.</w:t>
      </w:r>
    </w:p>
    <w:p w14:paraId="033F84A7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0BDF4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4. Postup pri výkone pôsobnosti stavovských organizácií a profesijných organizácií v systéme duálneho vzdelávania koordinuje Rada zamestnávateľov pre systém duálneho vzdelávania.</w:t>
      </w:r>
    </w:p>
    <w:p w14:paraId="011417D5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2F6DB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5. Rada zamestnávateľov je dobrovoľné odborné združenie zástupcov stavovskej organizácie a profesijnej organizácie.</w:t>
      </w:r>
    </w:p>
    <w:p w14:paraId="70251D67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5E8BC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6. Spôsob vymenúvania členov, dôvody zániku členstva, spôsob rokovania a podrobnosti o činnosti upraví</w:t>
      </w:r>
    </w:p>
    <w:p w14:paraId="411E58ED" w14:textId="77777777" w:rsidR="009C050A" w:rsidRPr="00A728F4" w:rsidRDefault="009C050A" w:rsidP="009C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8F4">
        <w:rPr>
          <w:rFonts w:ascii="Times New Roman" w:hAnsi="Times New Roman"/>
          <w:sz w:val="24"/>
          <w:szCs w:val="24"/>
        </w:rPr>
        <w:t>štatút rady zamestnávateľov, ktorý vydá rada zamestnávateľov po prerokovaní v rade vlády.</w:t>
      </w:r>
    </w:p>
    <w:p w14:paraId="53C21903" w14:textId="77777777" w:rsidR="00501067" w:rsidRPr="00A728F4" w:rsidRDefault="00501067" w:rsidP="003F3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sectPr w:rsidR="00501067" w:rsidRPr="00A728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BFB2" w14:textId="77777777" w:rsidR="00314C19" w:rsidRDefault="00314C19" w:rsidP="0015145C">
      <w:pPr>
        <w:spacing w:after="0" w:line="240" w:lineRule="auto"/>
      </w:pPr>
      <w:r>
        <w:separator/>
      </w:r>
    </w:p>
  </w:endnote>
  <w:endnote w:type="continuationSeparator" w:id="0">
    <w:p w14:paraId="7A2FB4FA" w14:textId="77777777" w:rsidR="00314C19" w:rsidRDefault="00314C19" w:rsidP="001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1967"/>
      <w:docPartObj>
        <w:docPartGallery w:val="Page Numbers (Bottom of Page)"/>
        <w:docPartUnique/>
      </w:docPartObj>
    </w:sdtPr>
    <w:sdtEndPr/>
    <w:sdtContent>
      <w:p w14:paraId="1D171A09" w14:textId="5121CE65" w:rsidR="00612556" w:rsidRDefault="0061255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F4" w:rsidRPr="00A728F4">
          <w:rPr>
            <w:noProof/>
            <w:lang w:val="cs-CZ"/>
          </w:rPr>
          <w:t>12</w:t>
        </w:r>
        <w:r>
          <w:fldChar w:fldCharType="end"/>
        </w:r>
      </w:p>
    </w:sdtContent>
  </w:sdt>
  <w:p w14:paraId="4328A3B7" w14:textId="77777777" w:rsidR="00612556" w:rsidRDefault="006125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2403A" w14:textId="77777777" w:rsidR="00314C19" w:rsidRDefault="00314C19" w:rsidP="0015145C">
      <w:pPr>
        <w:spacing w:after="0" w:line="240" w:lineRule="auto"/>
      </w:pPr>
      <w:r>
        <w:separator/>
      </w:r>
    </w:p>
  </w:footnote>
  <w:footnote w:type="continuationSeparator" w:id="0">
    <w:p w14:paraId="739E0236" w14:textId="77777777" w:rsidR="00314C19" w:rsidRDefault="00314C19" w:rsidP="0015145C">
      <w:pPr>
        <w:spacing w:after="0" w:line="240" w:lineRule="auto"/>
      </w:pPr>
      <w:r>
        <w:continuationSeparator/>
      </w:r>
    </w:p>
  </w:footnote>
  <w:footnote w:id="1">
    <w:p w14:paraId="142B2EE0" w14:textId="2494C3A7" w:rsidR="00612556" w:rsidRPr="00E32383" w:rsidRDefault="00612556" w:rsidP="005D0AA2">
      <w:pPr>
        <w:jc w:val="both"/>
        <w:rPr>
          <w:rFonts w:ascii="Times New Roman" w:hAnsi="Times New Roman"/>
          <w:sz w:val="20"/>
        </w:rPr>
      </w:pPr>
      <w:r w:rsidRPr="00E32383">
        <w:rPr>
          <w:rStyle w:val="Odkaznapoznmkupodiarou"/>
          <w:rFonts w:ascii="Times New Roman" w:hAnsi="Times New Roman"/>
        </w:rPr>
        <w:footnoteRef/>
      </w:r>
      <w:r w:rsidRPr="00E32383">
        <w:rPr>
          <w:rFonts w:ascii="Times New Roman" w:hAnsi="Times New Roman"/>
        </w:rPr>
        <w:t xml:space="preserve"> </w:t>
      </w:r>
      <w:r w:rsidRPr="00E32383">
        <w:rPr>
          <w:rFonts w:ascii="Times New Roman" w:hAnsi="Times New Roman"/>
          <w:sz w:val="20"/>
        </w:rPr>
        <w:t xml:space="preserve">Celkový počet stredných odborných škôl bol určený z verejne dostupných údajov na internetovej doméne </w:t>
      </w:r>
      <w:hyperlink r:id="rId1" w:history="1">
        <w:r w:rsidRPr="001C2F40">
          <w:rPr>
            <w:rStyle w:val="Hypertextovprepojenie"/>
            <w:rFonts w:ascii="Times New Roman" w:hAnsi="Times New Roman"/>
            <w:sz w:val="20"/>
          </w:rPr>
          <w:t>www.cvtisr.sk</w:t>
        </w:r>
      </w:hyperlink>
      <w:r w:rsidRPr="00E32383">
        <w:rPr>
          <w:rFonts w:ascii="Times New Roman" w:hAnsi="Times New Roman"/>
          <w:sz w:val="20"/>
        </w:rPr>
        <w:t xml:space="preserve">, na ktorej sú zverejnené všetky stredné odborné školy spolu s učebnými odbormi, ako aj druhom ukončovania štúdia. Z predmetného zoznamu boli vyselektované stredné odborné školy, na ktorých sa štúdium ukončuje formou záverečnej skúšky, </w:t>
      </w:r>
      <w:r>
        <w:rPr>
          <w:rFonts w:ascii="Times New Roman" w:hAnsi="Times New Roman"/>
          <w:sz w:val="20"/>
        </w:rPr>
        <w:t xml:space="preserve">maturitnej skúšky a </w:t>
      </w:r>
      <w:r w:rsidRPr="00E32383">
        <w:rPr>
          <w:rFonts w:ascii="Times New Roman" w:hAnsi="Times New Roman"/>
          <w:sz w:val="20"/>
        </w:rPr>
        <w:t>absolvent</w:t>
      </w:r>
      <w:r>
        <w:rPr>
          <w:rFonts w:ascii="Times New Roman" w:hAnsi="Times New Roman"/>
          <w:sz w:val="20"/>
        </w:rPr>
        <w:t>skej skúšky</w:t>
      </w:r>
      <w:r w:rsidRPr="00E32383">
        <w:rPr>
          <w:rFonts w:ascii="Times New Roman" w:hAnsi="Times New Roman"/>
          <w:sz w:val="20"/>
        </w:rPr>
        <w:t xml:space="preserve">. </w:t>
      </w:r>
    </w:p>
    <w:p w14:paraId="57B20770" w14:textId="77777777" w:rsidR="00612556" w:rsidRPr="00E32383" w:rsidRDefault="00612556" w:rsidP="005D0AA2">
      <w:pPr>
        <w:pStyle w:val="Textpoznmkypodiarou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B2F1" w14:textId="77777777" w:rsidR="00612556" w:rsidRDefault="00612556" w:rsidP="007B1ECB">
    <w:pPr>
      <w:pStyle w:val="Hlavika"/>
      <w:spacing w:after="0" w:line="240" w:lineRule="auto"/>
      <w:jc w:val="center"/>
      <w:rPr>
        <w:rFonts w:ascii="Arial" w:hAnsi="Arial" w:cs="Arial"/>
        <w:color w:val="002060"/>
        <w:sz w:val="20"/>
        <w:szCs w:val="20"/>
      </w:rPr>
    </w:pPr>
    <w:r w:rsidRPr="00E53EBD">
      <w:rPr>
        <w:rFonts w:ascii="Arial" w:hAnsi="Arial" w:cs="Arial"/>
        <w:b/>
        <w:color w:val="1F497D"/>
        <w:sz w:val="20"/>
        <w:szCs w:val="20"/>
      </w:rPr>
      <w:t>Štátny inštitút odborného vzdelávania</w:t>
    </w:r>
    <w:r w:rsidRPr="00E53EBD">
      <w:rPr>
        <w:rFonts w:ascii="Arial" w:hAnsi="Arial" w:cs="Arial"/>
        <w:color w:val="1F497D"/>
        <w:sz w:val="20"/>
        <w:szCs w:val="20"/>
      </w:rPr>
      <w:t>,</w:t>
    </w:r>
    <w:r w:rsidRPr="00E53EBD">
      <w:rPr>
        <w:rFonts w:ascii="Arial" w:hAnsi="Arial" w:cs="Arial"/>
        <w:color w:val="002060"/>
        <w:sz w:val="20"/>
        <w:szCs w:val="20"/>
      </w:rPr>
      <w:t xml:space="preserve"> Bellova 54/A, 837 63 Bratislava</w:t>
    </w:r>
  </w:p>
  <w:p w14:paraId="25CA9B8D" w14:textId="77777777" w:rsidR="00612556" w:rsidRPr="007B1ECB" w:rsidRDefault="00612556" w:rsidP="007B1ECB">
    <w:pPr>
      <w:pStyle w:val="Hlavika"/>
      <w:spacing w:after="0" w:line="240" w:lineRule="auto"/>
      <w:jc w:val="center"/>
      <w:rPr>
        <w:rFonts w:ascii="Arial" w:hAnsi="Arial" w:cs="Arial"/>
        <w:color w:val="1F497D"/>
        <w:sz w:val="20"/>
        <w:szCs w:val="20"/>
      </w:rPr>
    </w:pPr>
    <w:r w:rsidRPr="00E53EBD">
      <w:rPr>
        <w:rFonts w:ascii="Arial" w:hAnsi="Arial" w:cs="Arial"/>
        <w:b/>
        <w:color w:val="1F497D"/>
        <w:sz w:val="18"/>
        <w:szCs w:val="18"/>
      </w:rPr>
      <w:t>Národný projekt</w:t>
    </w:r>
    <w:r w:rsidRPr="00E53EBD">
      <w:rPr>
        <w:rFonts w:ascii="Arial" w:hAnsi="Arial" w:cs="Arial"/>
        <w:color w:val="1F497D"/>
        <w:sz w:val="18"/>
        <w:szCs w:val="18"/>
      </w:rPr>
      <w:t>: Rozvoj stredného odborného vzdelávania</w:t>
    </w:r>
  </w:p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985"/>
      <w:gridCol w:w="5103"/>
      <w:gridCol w:w="1985"/>
    </w:tblGrid>
    <w:tr w:rsidR="00612556" w:rsidRPr="00407493" w14:paraId="222AB22A" w14:textId="77777777" w:rsidTr="00BA1D49">
      <w:trPr>
        <w:jc w:val="center"/>
      </w:trPr>
      <w:tc>
        <w:tcPr>
          <w:tcW w:w="1985" w:type="dxa"/>
          <w:hideMark/>
        </w:tcPr>
        <w:p w14:paraId="68BE2C17" w14:textId="77777777" w:rsidR="00612556" w:rsidRPr="00407493" w:rsidRDefault="00612556" w:rsidP="0015145C">
          <w:pPr>
            <w:pStyle w:val="Hlavika"/>
            <w:spacing w:after="0" w:line="240" w:lineRule="auto"/>
            <w:jc w:val="center"/>
            <w:rPr>
              <w:rFonts w:ascii="Times New Roman" w:hAnsi="Times New Roman"/>
              <w:color w:val="1F497D"/>
            </w:rPr>
          </w:pPr>
          <w:r>
            <w:rPr>
              <w:noProof/>
              <w:color w:val="1F497D"/>
              <w:lang w:eastAsia="sk-SK"/>
            </w:rPr>
            <w:drawing>
              <wp:inline distT="0" distB="0" distL="0" distR="0" wp14:anchorId="1C44A8E4" wp14:editId="110FF285">
                <wp:extent cx="1066800" cy="965200"/>
                <wp:effectExtent l="0" t="0" r="0" b="0"/>
                <wp:docPr id="1" name="Picture 1" descr="Description: EU-ESF-VERTICA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EU-ESF-VERTICA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62AE4D37" w14:textId="77777777" w:rsidR="00612556" w:rsidRPr="00407493" w:rsidRDefault="00612556" w:rsidP="0015145C">
          <w:pPr>
            <w:pStyle w:val="Hlavika"/>
            <w:spacing w:after="0" w:line="240" w:lineRule="auto"/>
            <w:rPr>
              <w:color w:val="1F497D"/>
              <w:sz w:val="28"/>
              <w:szCs w:val="28"/>
            </w:rPr>
          </w:pPr>
          <w:r w:rsidRPr="00407493">
            <w:rPr>
              <w:rFonts w:ascii="Times New Roman" w:hAnsi="Times New Roman"/>
              <w:color w:val="1F497D"/>
              <w:sz w:val="28"/>
              <w:szCs w:val="28"/>
            </w:rPr>
            <w:t xml:space="preserve">                </w:t>
          </w:r>
          <w:r>
            <w:rPr>
              <w:rFonts w:ascii="Times New Roman" w:hAnsi="Times New Roman"/>
              <w:color w:val="1F497D"/>
              <w:sz w:val="28"/>
              <w:szCs w:val="28"/>
            </w:rPr>
            <w:t xml:space="preserve">   </w:t>
          </w:r>
          <w:r>
            <w:rPr>
              <w:noProof/>
              <w:color w:val="1F497D"/>
              <w:sz w:val="28"/>
              <w:szCs w:val="28"/>
              <w:lang w:eastAsia="sk-SK"/>
            </w:rPr>
            <w:drawing>
              <wp:inline distT="0" distB="0" distL="0" distR="0" wp14:anchorId="2BD79AEE" wp14:editId="095F624C">
                <wp:extent cx="1524000" cy="406400"/>
                <wp:effectExtent l="0" t="0" r="0" b="0"/>
                <wp:docPr id="3" name="Picture 3" descr="SI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D50F2C" w14:textId="77777777" w:rsidR="00612556" w:rsidRPr="00407493" w:rsidRDefault="00612556" w:rsidP="0015145C">
          <w:pPr>
            <w:pStyle w:val="Hlavika"/>
            <w:spacing w:after="0" w:line="240" w:lineRule="auto"/>
            <w:jc w:val="center"/>
            <w:rPr>
              <w:b/>
              <w:bCs/>
              <w:color w:val="1F497D"/>
              <w:sz w:val="28"/>
              <w:szCs w:val="28"/>
            </w:rPr>
          </w:pPr>
        </w:p>
      </w:tc>
      <w:tc>
        <w:tcPr>
          <w:tcW w:w="1985" w:type="dxa"/>
          <w:hideMark/>
        </w:tcPr>
        <w:p w14:paraId="2FB3DCCF" w14:textId="77777777" w:rsidR="00612556" w:rsidRPr="00407493" w:rsidRDefault="00612556" w:rsidP="0015145C">
          <w:pPr>
            <w:pStyle w:val="Hlavika"/>
            <w:spacing w:after="0" w:line="240" w:lineRule="auto"/>
            <w:jc w:val="center"/>
            <w:rPr>
              <w:rFonts w:ascii="Times New Roman" w:hAnsi="Times New Roman"/>
              <w:color w:val="1F497D"/>
            </w:rPr>
          </w:pPr>
          <w:r>
            <w:rPr>
              <w:noProof/>
              <w:color w:val="1F497D"/>
              <w:lang w:eastAsia="sk-SK"/>
            </w:rPr>
            <w:drawing>
              <wp:inline distT="0" distB="0" distL="0" distR="0" wp14:anchorId="2B4ABC2D" wp14:editId="53D38AAE">
                <wp:extent cx="923925" cy="938591"/>
                <wp:effectExtent l="0" t="0" r="0" b="1270"/>
                <wp:docPr id="2" name="Picture 6" descr="Description: logo_opv_fareb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logo_opv_fareb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928" cy="94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4351F1" w14:textId="77777777" w:rsidR="00612556" w:rsidRDefault="00612556" w:rsidP="00C0690A">
    <w:pPr>
      <w:spacing w:after="0" w:line="240" w:lineRule="auto"/>
      <w:jc w:val="center"/>
      <w:rPr>
        <w:rFonts w:ascii="Arial" w:hAnsi="Arial" w:cs="Arial"/>
        <w:color w:val="002060"/>
        <w:sz w:val="16"/>
        <w:szCs w:val="16"/>
      </w:rPr>
    </w:pPr>
  </w:p>
  <w:p w14:paraId="5B01BB3D" w14:textId="52F050AC" w:rsidR="00612556" w:rsidRPr="00C0690A" w:rsidRDefault="00612556" w:rsidP="00C0690A">
    <w:pPr>
      <w:spacing w:after="0" w:line="240" w:lineRule="auto"/>
      <w:jc w:val="center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6"/>
        <w:szCs w:val="16"/>
      </w:rPr>
      <w:t>Prioritná os</w:t>
    </w:r>
    <w:r w:rsidRPr="00C0690A">
      <w:rPr>
        <w:rFonts w:ascii="Arial" w:hAnsi="Arial" w:cs="Arial"/>
        <w:color w:val="002060"/>
        <w:sz w:val="16"/>
        <w:szCs w:val="16"/>
      </w:rPr>
      <w:t xml:space="preserve"> 1: Reforma systému vzdelávania a o</w:t>
    </w:r>
    <w:r>
      <w:rPr>
        <w:rFonts w:ascii="Arial" w:hAnsi="Arial" w:cs="Arial"/>
        <w:color w:val="002060"/>
        <w:sz w:val="16"/>
        <w:szCs w:val="16"/>
      </w:rPr>
      <w:t xml:space="preserve">dbornej prípravy, Opatrenie 1.1: </w:t>
    </w:r>
    <w:r w:rsidRPr="00C0690A">
      <w:rPr>
        <w:rFonts w:ascii="Arial" w:hAnsi="Arial" w:cs="Arial"/>
        <w:color w:val="002060"/>
        <w:sz w:val="16"/>
        <w:szCs w:val="16"/>
      </w:rPr>
      <w:t>Premena tradičnej školy na modernú</w:t>
    </w:r>
    <w:r w:rsidRPr="00C0690A">
      <w:rPr>
        <w:rFonts w:ascii="Arial" w:hAnsi="Arial" w:cs="Arial"/>
        <w:color w:val="002060"/>
        <w:sz w:val="16"/>
        <w:szCs w:val="16"/>
      </w:rPr>
      <w:br/>
      <w:t>Moderné vzdelávanie pre vedomostnú spoločnosť</w:t>
    </w:r>
    <w:r>
      <w:rPr>
        <w:rFonts w:ascii="Arial" w:hAnsi="Arial" w:cs="Arial"/>
        <w:color w:val="002060"/>
        <w:sz w:val="16"/>
        <w:szCs w:val="16"/>
      </w:rPr>
      <w:t xml:space="preserve"> </w:t>
    </w:r>
    <w:r w:rsidRPr="00C0690A">
      <w:rPr>
        <w:rFonts w:ascii="Arial" w:hAnsi="Arial" w:cs="Arial"/>
        <w:color w:val="002060"/>
        <w:sz w:val="16"/>
        <w:szCs w:val="16"/>
      </w:rPr>
      <w:t>/</w:t>
    </w:r>
    <w:r>
      <w:rPr>
        <w:rFonts w:ascii="Arial" w:hAnsi="Arial" w:cs="Arial"/>
        <w:color w:val="002060"/>
        <w:sz w:val="16"/>
        <w:szCs w:val="16"/>
      </w:rPr>
      <w:t xml:space="preserve"> </w:t>
    </w:r>
    <w:r w:rsidRPr="00C0690A">
      <w:rPr>
        <w:rFonts w:ascii="Arial" w:hAnsi="Arial" w:cs="Arial"/>
        <w:color w:val="002060"/>
        <w:sz w:val="16"/>
        <w:szCs w:val="16"/>
      </w:rPr>
      <w:t>Projekt je spolufinancovaný zo zdrojov EÚ</w:t>
    </w:r>
  </w:p>
  <w:p w14:paraId="6C790606" w14:textId="49BEBE74" w:rsidR="00612556" w:rsidRPr="00C0690A" w:rsidRDefault="00612556" w:rsidP="00C95305">
    <w:pPr>
      <w:spacing w:after="0" w:line="240" w:lineRule="auto"/>
      <w:jc w:val="center"/>
      <w:rPr>
        <w:rFonts w:ascii="Arial" w:hAnsi="Arial" w:cs="Arial"/>
        <w:color w:val="002060"/>
        <w:sz w:val="16"/>
        <w:szCs w:val="16"/>
      </w:rPr>
    </w:pPr>
    <w:r>
      <w:rPr>
        <w:rFonts w:ascii="Arial" w:hAnsi="Arial" w:cs="Arial"/>
        <w:color w:val="002060"/>
        <w:sz w:val="16"/>
        <w:szCs w:val="16"/>
      </w:rPr>
      <w:t xml:space="preserve">Kód ITMS projektu: 26110130548, </w:t>
    </w:r>
    <w:r w:rsidRPr="00C0690A">
      <w:rPr>
        <w:rFonts w:ascii="Arial" w:hAnsi="Arial" w:cs="Arial"/>
        <w:color w:val="002060"/>
        <w:sz w:val="16"/>
        <w:szCs w:val="16"/>
      </w:rPr>
      <w:t>Cieľ: Konvergencia</w:t>
    </w:r>
  </w:p>
  <w:p w14:paraId="79E8FF79" w14:textId="77777777" w:rsidR="00612556" w:rsidRPr="00C95305" w:rsidRDefault="00612556" w:rsidP="0015145C">
    <w:pPr>
      <w:spacing w:after="0" w:line="240" w:lineRule="auto"/>
      <w:jc w:val="center"/>
      <w:rPr>
        <w:rFonts w:ascii="Arial" w:hAnsi="Arial" w:cs="Arial"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F60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B1044"/>
    <w:multiLevelType w:val="hybridMultilevel"/>
    <w:tmpl w:val="6A6E797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7876E05"/>
    <w:multiLevelType w:val="hybridMultilevel"/>
    <w:tmpl w:val="D08E8852"/>
    <w:lvl w:ilvl="0" w:tplc="7586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6043"/>
    <w:multiLevelType w:val="hybridMultilevel"/>
    <w:tmpl w:val="169838E6"/>
    <w:lvl w:ilvl="0" w:tplc="A586A89C">
      <w:numFmt w:val="bullet"/>
      <w:lvlText w:val="-"/>
      <w:lvlJc w:val="left"/>
      <w:pPr>
        <w:ind w:left="38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C733C61"/>
    <w:multiLevelType w:val="hybridMultilevel"/>
    <w:tmpl w:val="3752A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AA1"/>
    <w:multiLevelType w:val="hybridMultilevel"/>
    <w:tmpl w:val="6C18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0D7C"/>
    <w:multiLevelType w:val="hybridMultilevel"/>
    <w:tmpl w:val="14429300"/>
    <w:lvl w:ilvl="0" w:tplc="7586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9D4"/>
    <w:multiLevelType w:val="hybridMultilevel"/>
    <w:tmpl w:val="3A96DA36"/>
    <w:lvl w:ilvl="0" w:tplc="7586293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04397"/>
    <w:multiLevelType w:val="hybridMultilevel"/>
    <w:tmpl w:val="8534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6E50"/>
    <w:multiLevelType w:val="hybridMultilevel"/>
    <w:tmpl w:val="28D6EF6E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7D9"/>
    <w:multiLevelType w:val="hybridMultilevel"/>
    <w:tmpl w:val="664ABB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E7EB4"/>
    <w:multiLevelType w:val="hybridMultilevel"/>
    <w:tmpl w:val="CC92B8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736B58"/>
    <w:multiLevelType w:val="hybridMultilevel"/>
    <w:tmpl w:val="9CD2B96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221B22"/>
    <w:multiLevelType w:val="hybridMultilevel"/>
    <w:tmpl w:val="7018B87E"/>
    <w:lvl w:ilvl="0" w:tplc="0409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56985CDE"/>
    <w:multiLevelType w:val="hybridMultilevel"/>
    <w:tmpl w:val="CF6E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5231"/>
    <w:multiLevelType w:val="hybridMultilevel"/>
    <w:tmpl w:val="6600A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41CD3"/>
    <w:multiLevelType w:val="hybridMultilevel"/>
    <w:tmpl w:val="053E9840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22F002B"/>
    <w:multiLevelType w:val="hybridMultilevel"/>
    <w:tmpl w:val="41C80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590"/>
    <w:multiLevelType w:val="hybridMultilevel"/>
    <w:tmpl w:val="2B501B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30E86"/>
    <w:multiLevelType w:val="hybridMultilevel"/>
    <w:tmpl w:val="9BB60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1978"/>
    <w:multiLevelType w:val="hybridMultilevel"/>
    <w:tmpl w:val="6C6835D2"/>
    <w:lvl w:ilvl="0" w:tplc="7586293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81EB6"/>
    <w:multiLevelType w:val="hybridMultilevel"/>
    <w:tmpl w:val="65E2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4478B"/>
    <w:multiLevelType w:val="multilevel"/>
    <w:tmpl w:val="A622E9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3"/>
  </w:num>
  <w:num w:numId="5">
    <w:abstractNumId w:val="14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22"/>
  </w:num>
  <w:num w:numId="13">
    <w:abstractNumId w:val="18"/>
  </w:num>
  <w:num w:numId="14">
    <w:abstractNumId w:val="7"/>
  </w:num>
  <w:num w:numId="15">
    <w:abstractNumId w:val="20"/>
  </w:num>
  <w:num w:numId="16">
    <w:abstractNumId w:val="12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1E"/>
    <w:rsid w:val="000133A9"/>
    <w:rsid w:val="000237FC"/>
    <w:rsid w:val="00060AD6"/>
    <w:rsid w:val="00067CA9"/>
    <w:rsid w:val="00072A69"/>
    <w:rsid w:val="000773D8"/>
    <w:rsid w:val="000A40D2"/>
    <w:rsid w:val="000D5AEA"/>
    <w:rsid w:val="00100D0B"/>
    <w:rsid w:val="00115CDF"/>
    <w:rsid w:val="00121110"/>
    <w:rsid w:val="0013187D"/>
    <w:rsid w:val="00144383"/>
    <w:rsid w:val="0015145C"/>
    <w:rsid w:val="00154F31"/>
    <w:rsid w:val="001654F3"/>
    <w:rsid w:val="00173E62"/>
    <w:rsid w:val="00193F2A"/>
    <w:rsid w:val="001A089E"/>
    <w:rsid w:val="001C4E49"/>
    <w:rsid w:val="001E008D"/>
    <w:rsid w:val="001F3612"/>
    <w:rsid w:val="001F392E"/>
    <w:rsid w:val="001F78FA"/>
    <w:rsid w:val="00205FD7"/>
    <w:rsid w:val="00207FFD"/>
    <w:rsid w:val="0021089F"/>
    <w:rsid w:val="00240056"/>
    <w:rsid w:val="00257C84"/>
    <w:rsid w:val="0026563A"/>
    <w:rsid w:val="002A309E"/>
    <w:rsid w:val="002A4E55"/>
    <w:rsid w:val="002A5771"/>
    <w:rsid w:val="002C289B"/>
    <w:rsid w:val="002E5B53"/>
    <w:rsid w:val="002F24A3"/>
    <w:rsid w:val="002F729E"/>
    <w:rsid w:val="00300292"/>
    <w:rsid w:val="0030350C"/>
    <w:rsid w:val="00314C19"/>
    <w:rsid w:val="00316426"/>
    <w:rsid w:val="00323418"/>
    <w:rsid w:val="00344866"/>
    <w:rsid w:val="003656B6"/>
    <w:rsid w:val="00376993"/>
    <w:rsid w:val="00376A8C"/>
    <w:rsid w:val="0037701C"/>
    <w:rsid w:val="003812BB"/>
    <w:rsid w:val="003833F6"/>
    <w:rsid w:val="003876D4"/>
    <w:rsid w:val="003C26F4"/>
    <w:rsid w:val="003C47EC"/>
    <w:rsid w:val="003F0AD2"/>
    <w:rsid w:val="003F3C04"/>
    <w:rsid w:val="003F6927"/>
    <w:rsid w:val="00407493"/>
    <w:rsid w:val="00407E60"/>
    <w:rsid w:val="0043465A"/>
    <w:rsid w:val="0043471E"/>
    <w:rsid w:val="004351F5"/>
    <w:rsid w:val="00446A7F"/>
    <w:rsid w:val="00452EC9"/>
    <w:rsid w:val="004610F8"/>
    <w:rsid w:val="004670CE"/>
    <w:rsid w:val="00471E5F"/>
    <w:rsid w:val="004A0BBC"/>
    <w:rsid w:val="004A264C"/>
    <w:rsid w:val="004B0B5B"/>
    <w:rsid w:val="004E1FEA"/>
    <w:rsid w:val="00501067"/>
    <w:rsid w:val="00572D41"/>
    <w:rsid w:val="00583266"/>
    <w:rsid w:val="00593FA8"/>
    <w:rsid w:val="0059503F"/>
    <w:rsid w:val="005953FF"/>
    <w:rsid w:val="005B0FE8"/>
    <w:rsid w:val="005D0AA2"/>
    <w:rsid w:val="006107FF"/>
    <w:rsid w:val="00612556"/>
    <w:rsid w:val="00612568"/>
    <w:rsid w:val="0063682B"/>
    <w:rsid w:val="00657B29"/>
    <w:rsid w:val="0067005A"/>
    <w:rsid w:val="00673730"/>
    <w:rsid w:val="006A19FD"/>
    <w:rsid w:val="006B52DC"/>
    <w:rsid w:val="006F2F10"/>
    <w:rsid w:val="006F565D"/>
    <w:rsid w:val="00716897"/>
    <w:rsid w:val="00727634"/>
    <w:rsid w:val="007301EC"/>
    <w:rsid w:val="00730401"/>
    <w:rsid w:val="00740C5E"/>
    <w:rsid w:val="00755C4C"/>
    <w:rsid w:val="00762A42"/>
    <w:rsid w:val="00787F83"/>
    <w:rsid w:val="007A4864"/>
    <w:rsid w:val="007B1ECB"/>
    <w:rsid w:val="007B3831"/>
    <w:rsid w:val="007B6BB9"/>
    <w:rsid w:val="007C32AD"/>
    <w:rsid w:val="007C601E"/>
    <w:rsid w:val="007E2506"/>
    <w:rsid w:val="007E3358"/>
    <w:rsid w:val="007E4169"/>
    <w:rsid w:val="00823508"/>
    <w:rsid w:val="00844FA5"/>
    <w:rsid w:val="00870C66"/>
    <w:rsid w:val="0087108B"/>
    <w:rsid w:val="008764DA"/>
    <w:rsid w:val="008805A1"/>
    <w:rsid w:val="00892EA6"/>
    <w:rsid w:val="0089415C"/>
    <w:rsid w:val="008E3D32"/>
    <w:rsid w:val="008F78E2"/>
    <w:rsid w:val="00927881"/>
    <w:rsid w:val="009341A9"/>
    <w:rsid w:val="009423D5"/>
    <w:rsid w:val="00991B3E"/>
    <w:rsid w:val="00991C1B"/>
    <w:rsid w:val="009938C4"/>
    <w:rsid w:val="009A3527"/>
    <w:rsid w:val="009C050A"/>
    <w:rsid w:val="009C3056"/>
    <w:rsid w:val="009C649D"/>
    <w:rsid w:val="009D390E"/>
    <w:rsid w:val="009D4084"/>
    <w:rsid w:val="009F1C33"/>
    <w:rsid w:val="009F6F8D"/>
    <w:rsid w:val="00A10C12"/>
    <w:rsid w:val="00A21165"/>
    <w:rsid w:val="00A23F9D"/>
    <w:rsid w:val="00A65D5B"/>
    <w:rsid w:val="00A728F4"/>
    <w:rsid w:val="00A91E4A"/>
    <w:rsid w:val="00AA129A"/>
    <w:rsid w:val="00AC0005"/>
    <w:rsid w:val="00AE5A49"/>
    <w:rsid w:val="00B04F38"/>
    <w:rsid w:val="00B224D1"/>
    <w:rsid w:val="00B24945"/>
    <w:rsid w:val="00B27207"/>
    <w:rsid w:val="00B41B1A"/>
    <w:rsid w:val="00B47444"/>
    <w:rsid w:val="00B573BF"/>
    <w:rsid w:val="00B6350C"/>
    <w:rsid w:val="00B71464"/>
    <w:rsid w:val="00B71702"/>
    <w:rsid w:val="00B77377"/>
    <w:rsid w:val="00B9133F"/>
    <w:rsid w:val="00BA1D49"/>
    <w:rsid w:val="00BF2405"/>
    <w:rsid w:val="00BF2641"/>
    <w:rsid w:val="00BF5A63"/>
    <w:rsid w:val="00C049F3"/>
    <w:rsid w:val="00C0690A"/>
    <w:rsid w:val="00C16A40"/>
    <w:rsid w:val="00C4736C"/>
    <w:rsid w:val="00C60E00"/>
    <w:rsid w:val="00C614B5"/>
    <w:rsid w:val="00C6294E"/>
    <w:rsid w:val="00C63503"/>
    <w:rsid w:val="00C8577A"/>
    <w:rsid w:val="00C95305"/>
    <w:rsid w:val="00CA4B01"/>
    <w:rsid w:val="00CB7345"/>
    <w:rsid w:val="00CD4B14"/>
    <w:rsid w:val="00CE333D"/>
    <w:rsid w:val="00CE4816"/>
    <w:rsid w:val="00CF4703"/>
    <w:rsid w:val="00D14EAD"/>
    <w:rsid w:val="00D26B7E"/>
    <w:rsid w:val="00D433C6"/>
    <w:rsid w:val="00D4441D"/>
    <w:rsid w:val="00D73C65"/>
    <w:rsid w:val="00D8664D"/>
    <w:rsid w:val="00DF05CD"/>
    <w:rsid w:val="00E16F65"/>
    <w:rsid w:val="00E304A2"/>
    <w:rsid w:val="00E32383"/>
    <w:rsid w:val="00E53EBD"/>
    <w:rsid w:val="00EA6C96"/>
    <w:rsid w:val="00EB091C"/>
    <w:rsid w:val="00EB5402"/>
    <w:rsid w:val="00EC1F78"/>
    <w:rsid w:val="00F33298"/>
    <w:rsid w:val="00F40241"/>
    <w:rsid w:val="00F471C6"/>
    <w:rsid w:val="00F731CF"/>
    <w:rsid w:val="00F831CF"/>
    <w:rsid w:val="00FA0D0B"/>
    <w:rsid w:val="00FA45CC"/>
    <w:rsid w:val="00FA5C8A"/>
    <w:rsid w:val="00FC69B1"/>
    <w:rsid w:val="00FE10C0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C3F1D"/>
  <w15:docId w15:val="{82E96350-725C-492C-8D38-A4D7C7CF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val="sk-SK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1514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A5771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04A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14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5145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514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5145C"/>
    <w:rPr>
      <w:sz w:val="22"/>
      <w:szCs w:val="22"/>
      <w:lang w:eastAsia="en-US"/>
    </w:rPr>
  </w:style>
  <w:style w:type="character" w:customStyle="1" w:styleId="Nadpis1Char">
    <w:name w:val="Nadpis 1 Char"/>
    <w:aliases w:val="Chapter Char"/>
    <w:link w:val="Nadpis1"/>
    <w:uiPriority w:val="9"/>
    <w:rsid w:val="0015145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A19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FD"/>
    <w:rPr>
      <w:rFonts w:ascii="Times New Roman" w:eastAsia="Times New Roman" w:hAnsi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6A19FD"/>
    <w:rPr>
      <w:rFonts w:cs="Times New Roman"/>
      <w:vertAlign w:val="superscript"/>
    </w:rPr>
  </w:style>
  <w:style w:type="paragraph" w:customStyle="1" w:styleId="Default">
    <w:name w:val="Default"/>
    <w:rsid w:val="00121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character" w:customStyle="1" w:styleId="Bodytext">
    <w:name w:val="Body text_"/>
    <w:link w:val="Zkladntext1"/>
    <w:rsid w:val="00121110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121110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lang w:val="en-US"/>
    </w:rPr>
  </w:style>
  <w:style w:type="paragraph" w:styleId="Odsekzoznamu">
    <w:name w:val="List Paragraph"/>
    <w:basedOn w:val="Normlny"/>
    <w:uiPriority w:val="34"/>
    <w:qFormat/>
    <w:rsid w:val="00121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tisr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E315-89F9-4AA5-861A-03D3956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3896</Words>
  <Characters>22210</Characters>
  <Application>Microsoft Office Word</Application>
  <DocSecurity>0</DocSecurity>
  <Lines>185</Lines>
  <Paragraphs>52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26054</CharactersWithSpaces>
  <SharedDoc>false</SharedDoc>
  <HLinks>
    <vt:vector size="6" baseType="variant">
      <vt:variant>
        <vt:i4>2031644</vt:i4>
      </vt:variant>
      <vt:variant>
        <vt:i4>2338</vt:i4>
      </vt:variant>
      <vt:variant>
        <vt:i4>1027</vt:i4>
      </vt:variant>
      <vt:variant>
        <vt:i4>1</vt:i4>
      </vt:variant>
      <vt:variant>
        <vt:lpwstr>SIOV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2014-10-30T09:55:00Z</cp:lastPrinted>
  <dcterms:created xsi:type="dcterms:W3CDTF">2015-07-01T07:53:00Z</dcterms:created>
  <dcterms:modified xsi:type="dcterms:W3CDTF">2015-12-14T08:12:00Z</dcterms:modified>
</cp:coreProperties>
</file>