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D" w:rsidRDefault="00013FED" w:rsidP="00013FE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Príloha č. 11</w:t>
      </w:r>
    </w:p>
    <w:p w:rsidR="00013FED" w:rsidRDefault="00013FED" w:rsidP="00013FE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13FED" w:rsidRPr="00424019" w:rsidRDefault="00013FED" w:rsidP="00013FED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2401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Porovnanie počtu žiakov v procese plánovania na školský rok 2016/2017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- </w:t>
      </w:r>
      <w:r w:rsidRPr="0042401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vybrané údaje za jednotlivé VÚC</w:t>
      </w:r>
    </w:p>
    <w:p w:rsidR="00013FED" w:rsidRDefault="00013FED" w:rsidP="00013FED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0F4F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4010025"/>
            <wp:effectExtent l="0" t="0" r="0" b="0"/>
            <wp:docPr id="88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0F4F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457575"/>
            <wp:effectExtent l="0" t="0" r="0" b="0"/>
            <wp:docPr id="89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3FED" w:rsidRDefault="00013FED" w:rsidP="00013FED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0F4F">
        <w:rPr>
          <w:rFonts w:asciiTheme="minorHAnsi" w:hAnsiTheme="minorHAnsi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4143375"/>
            <wp:effectExtent l="0" t="0" r="0" b="0"/>
            <wp:docPr id="90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0F4F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4048125"/>
            <wp:effectExtent l="0" t="0" r="0" b="0"/>
            <wp:docPr id="91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0F4F">
        <w:rPr>
          <w:rFonts w:asciiTheme="minorHAnsi" w:hAnsiTheme="minorHAnsi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4086225"/>
            <wp:effectExtent l="0" t="0" r="0" b="0"/>
            <wp:docPr id="92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0F4F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2625" cy="3848100"/>
            <wp:effectExtent l="0" t="0" r="0" b="0"/>
            <wp:docPr id="93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0F4F">
        <w:rPr>
          <w:rFonts w:asciiTheme="minorHAnsi" w:hAnsiTheme="minorHAnsi"/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2625" cy="3933825"/>
            <wp:effectExtent l="0" t="0" r="0" b="0"/>
            <wp:docPr id="94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3FED" w:rsidRDefault="00013FED" w:rsidP="00013FE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70F4F">
        <w:rPr>
          <w:rFonts w:asciiTheme="minorHAnsi" w:hAnsiTheme="minorHAnsi"/>
          <w:b/>
          <w:noProof/>
          <w:sz w:val="24"/>
          <w:szCs w:val="24"/>
          <w:lang w:eastAsia="sk-SK"/>
        </w:rPr>
        <w:drawing>
          <wp:inline distT="0" distB="0" distL="0" distR="0">
            <wp:extent cx="5760720" cy="3971925"/>
            <wp:effectExtent l="0" t="0" r="0" b="0"/>
            <wp:docPr id="95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04D9" w:rsidRDefault="00A704D9"/>
    <w:sectPr w:rsidR="00A704D9" w:rsidSect="006152A9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613519"/>
      <w:docPartObj>
        <w:docPartGallery w:val="Page Numbers (Bottom of Page)"/>
        <w:docPartUnique/>
      </w:docPartObj>
    </w:sdtPr>
    <w:sdtEndPr/>
    <w:sdtContent>
      <w:p w:rsidR="00EA6A37" w:rsidRDefault="00013F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6A37" w:rsidRDefault="00013FED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37" w:rsidRPr="00C95305" w:rsidRDefault="00013FED" w:rsidP="0015145C">
    <w:pPr>
      <w:spacing w:after="0" w:line="240" w:lineRule="auto"/>
      <w:jc w:val="center"/>
      <w:rPr>
        <w:rFonts w:ascii="Arial" w:hAnsi="Arial" w:cs="Arial"/>
        <w:color w:val="1F497D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37" w:rsidRDefault="00013FE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FED"/>
    <w:rsid w:val="00013FED"/>
    <w:rsid w:val="00450FEE"/>
    <w:rsid w:val="00A7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F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3F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3FE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13F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3FED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F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kt,%20RSOV\2.1.3,%20Nastavenie%20v&#253;konu%20&#353;k&#244;l\Workshop,%2015.11.23.-24\16-17,%20Pod&#318;a%20skup&#237;n%20odboro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Bratislava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BA!$C$49</c:f>
              <c:strCache>
                <c:ptCount val="1"/>
                <c:pt idx="0">
                  <c:v>Dodatočná potreba </c:v>
                </c:pt>
              </c:strCache>
            </c:strRef>
          </c:tx>
          <c:dLbls>
            <c:txPr>
              <a:bodyPr/>
              <a:lstStyle/>
              <a:p>
                <a:pPr>
                  <a:defRPr b="0">
                    <a:solidFill>
                      <a:schemeClr val="tx1"/>
                    </a:solidFill>
                  </a:defRPr>
                </a:pPr>
                <a:endParaRPr lang="sk-SK"/>
              </a:p>
            </c:txPr>
            <c:showVal val="1"/>
          </c:dLbls>
          <c:cat>
            <c:strRef>
              <c:f>BA!$L$49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BA!$C$39</c:f>
              <c:numCache>
                <c:formatCode>#,##0</c:formatCode>
                <c:ptCount val="1"/>
                <c:pt idx="0">
                  <c:v>7141</c:v>
                </c:pt>
              </c:numCache>
            </c:numRef>
          </c:val>
        </c:ser>
        <c:ser>
          <c:idx val="1"/>
          <c:order val="1"/>
          <c:tx>
            <c:strRef>
              <c:f>BA!$B$61</c:f>
              <c:strCache>
                <c:ptCount val="1"/>
                <c:pt idx="0">
                  <c:v>Rámcová prognóza novoprijatých žiakov</c:v>
                </c:pt>
              </c:strCache>
            </c:strRef>
          </c:tx>
          <c:dLbls>
            <c:showVal val="1"/>
          </c:dLbls>
          <c:cat>
            <c:strRef>
              <c:f>BA!$L$49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BA!$C$61</c:f>
              <c:numCache>
                <c:formatCode>General</c:formatCode>
                <c:ptCount val="1"/>
                <c:pt idx="0">
                  <c:v>4884</c:v>
                </c:pt>
              </c:numCache>
            </c:numRef>
          </c:val>
        </c:ser>
        <c:ser>
          <c:idx val="2"/>
          <c:order val="2"/>
          <c:tx>
            <c:strRef>
              <c:f>BA!$D$49</c:f>
              <c:strCache>
                <c:ptCount val="1"/>
                <c:pt idx="0">
                  <c:v>Schválené KR OVP </c:v>
                </c:pt>
              </c:strCache>
            </c:strRef>
          </c:tx>
          <c:dLbls>
            <c:showVal val="1"/>
          </c:dLbls>
          <c:cat>
            <c:strRef>
              <c:f>BA!$L$49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BA!$D$39</c:f>
              <c:numCache>
                <c:formatCode>#,##0</c:formatCode>
                <c:ptCount val="1"/>
                <c:pt idx="0">
                  <c:v>5147</c:v>
                </c:pt>
              </c:numCache>
            </c:numRef>
          </c:val>
        </c:ser>
        <c:ser>
          <c:idx val="3"/>
          <c:order val="3"/>
          <c:tx>
            <c:strRef>
              <c:f>BA!$E$48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BA!$L$49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BA!$F$39</c:f>
              <c:numCache>
                <c:formatCode>#,##0</c:formatCode>
                <c:ptCount val="1"/>
                <c:pt idx="0">
                  <c:v>7652</c:v>
                </c:pt>
              </c:numCache>
            </c:numRef>
          </c:val>
        </c:ser>
        <c:ser>
          <c:idx val="4"/>
          <c:order val="4"/>
          <c:tx>
            <c:strRef>
              <c:f>BA!$G$48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BA!$L$49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BA!$H$39</c:f>
              <c:numCache>
                <c:formatCode>#,##0</c:formatCode>
                <c:ptCount val="1"/>
                <c:pt idx="0">
                  <c:v>5147</c:v>
                </c:pt>
              </c:numCache>
            </c:numRef>
          </c:val>
        </c:ser>
        <c:axId val="105796736"/>
        <c:axId val="105798656"/>
      </c:barChart>
      <c:catAx>
        <c:axId val="105796736"/>
        <c:scaling>
          <c:orientation val="minMax"/>
        </c:scaling>
        <c:axPos val="b"/>
        <c:majorTickMark val="none"/>
        <c:tickLblPos val="nextTo"/>
        <c:crossAx val="105798656"/>
        <c:crosses val="autoZero"/>
        <c:auto val="1"/>
        <c:lblAlgn val="ctr"/>
        <c:lblOffset val="100"/>
      </c:catAx>
      <c:valAx>
        <c:axId val="10579865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057967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Trnava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TT!$C$49</c:f>
              <c:strCache>
                <c:ptCount val="1"/>
                <c:pt idx="0">
                  <c:v>Dodatočná potreba </c:v>
                </c:pt>
              </c:strCache>
            </c:strRef>
          </c:tx>
          <c:dLbls>
            <c:showVal val="1"/>
          </c:dLbls>
          <c:cat>
            <c:strRef>
              <c:f>TT!$L$49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TT!$C$41</c:f>
              <c:numCache>
                <c:formatCode>#,##0</c:formatCode>
                <c:ptCount val="1"/>
                <c:pt idx="0">
                  <c:v>3705</c:v>
                </c:pt>
              </c:numCache>
            </c:numRef>
          </c:val>
        </c:ser>
        <c:ser>
          <c:idx val="1"/>
          <c:order val="1"/>
          <c:tx>
            <c:strRef>
              <c:f>TT!$B$61</c:f>
              <c:strCache>
                <c:ptCount val="1"/>
                <c:pt idx="0">
                  <c:v>Rámcová prognóza novoprijatých žiakov</c:v>
                </c:pt>
              </c:strCache>
            </c:strRef>
          </c:tx>
          <c:dLbls>
            <c:showVal val="1"/>
          </c:dLbls>
          <c:cat>
            <c:strRef>
              <c:f>TT!$L$49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TT!$C$61</c:f>
              <c:numCache>
                <c:formatCode>#,##0</c:formatCode>
                <c:ptCount val="1"/>
                <c:pt idx="0">
                  <c:v>4371</c:v>
                </c:pt>
              </c:numCache>
            </c:numRef>
          </c:val>
        </c:ser>
        <c:ser>
          <c:idx val="2"/>
          <c:order val="2"/>
          <c:tx>
            <c:strRef>
              <c:f>TT!$D$49</c:f>
              <c:strCache>
                <c:ptCount val="1"/>
                <c:pt idx="0">
                  <c:v>Schválené KR OVP </c:v>
                </c:pt>
              </c:strCache>
            </c:strRef>
          </c:tx>
          <c:dLbls>
            <c:showVal val="1"/>
          </c:dLbls>
          <c:cat>
            <c:strRef>
              <c:f>TT!$L$49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TT!$D$41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TT!$E$48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TT!$L$49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TT!$F$41</c:f>
              <c:numCache>
                <c:formatCode>#,##0</c:formatCode>
                <c:ptCount val="1"/>
                <c:pt idx="0">
                  <c:v>7371</c:v>
                </c:pt>
              </c:numCache>
            </c:numRef>
          </c:val>
        </c:ser>
        <c:ser>
          <c:idx val="4"/>
          <c:order val="4"/>
          <c:tx>
            <c:strRef>
              <c:f>TT!$G$48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TT!$L$49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TT!$H$41</c:f>
              <c:numCache>
                <c:formatCode>#,##0</c:formatCode>
                <c:ptCount val="1"/>
                <c:pt idx="0">
                  <c:v>4767</c:v>
                </c:pt>
              </c:numCache>
            </c:numRef>
          </c:val>
        </c:ser>
        <c:axId val="159217920"/>
        <c:axId val="159394048"/>
      </c:barChart>
      <c:catAx>
        <c:axId val="159217920"/>
        <c:scaling>
          <c:orientation val="minMax"/>
        </c:scaling>
        <c:axPos val="b"/>
        <c:majorTickMark val="none"/>
        <c:tickLblPos val="nextTo"/>
        <c:crossAx val="159394048"/>
        <c:crosses val="autoZero"/>
        <c:auto val="1"/>
        <c:lblAlgn val="ctr"/>
        <c:lblOffset val="100"/>
      </c:catAx>
      <c:valAx>
        <c:axId val="15939404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5921792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Trenčín</a:t>
            </a:r>
            <a:endParaRPr lang="sk-SK" sz="1800" b="1" i="0" baseline="0" dirty="0"/>
          </a:p>
        </c:rich>
      </c:tx>
      <c:layout>
        <c:manualLayout>
          <c:xMode val="edge"/>
          <c:yMode val="edge"/>
          <c:x val="0.41854051229707556"/>
          <c:y val="1.453010196213688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TN!$C$49</c:f>
              <c:strCache>
                <c:ptCount val="1"/>
                <c:pt idx="0">
                  <c:v>Dodatočná potreba </c:v>
                </c:pt>
              </c:strCache>
            </c:strRef>
          </c:tx>
          <c:dLbls>
            <c:showVal val="1"/>
          </c:dLbls>
          <c:cat>
            <c:strRef>
              <c:f>TN!$L$49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TN!$C$39</c:f>
              <c:numCache>
                <c:formatCode>#,##0</c:formatCode>
                <c:ptCount val="1"/>
                <c:pt idx="0">
                  <c:v>2555</c:v>
                </c:pt>
              </c:numCache>
            </c:numRef>
          </c:val>
        </c:ser>
        <c:ser>
          <c:idx val="1"/>
          <c:order val="1"/>
          <c:tx>
            <c:strRef>
              <c:f>TN!$B$61</c:f>
              <c:strCache>
                <c:ptCount val="1"/>
                <c:pt idx="0">
                  <c:v>Rámcová prognóza novoprijatých žiakov</c:v>
                </c:pt>
              </c:strCache>
            </c:strRef>
          </c:tx>
          <c:dLbls>
            <c:showVal val="1"/>
          </c:dLbls>
          <c:cat>
            <c:strRef>
              <c:f>TN!$L$49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TN!$C$61</c:f>
              <c:numCache>
                <c:formatCode>General</c:formatCode>
                <c:ptCount val="1"/>
                <c:pt idx="0">
                  <c:v>4268</c:v>
                </c:pt>
              </c:numCache>
            </c:numRef>
          </c:val>
        </c:ser>
        <c:ser>
          <c:idx val="2"/>
          <c:order val="2"/>
          <c:tx>
            <c:strRef>
              <c:f>TN!$D$49</c:f>
              <c:strCache>
                <c:ptCount val="1"/>
                <c:pt idx="0">
                  <c:v>Schválené KR OVP </c:v>
                </c:pt>
              </c:strCache>
            </c:strRef>
          </c:tx>
          <c:dLbls>
            <c:showVal val="1"/>
          </c:dLbls>
          <c:cat>
            <c:strRef>
              <c:f>TN!$L$49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TN!$D$41</c:f>
              <c:numCache>
                <c:formatCode>#,##0</c:formatCode>
                <c:ptCount val="1"/>
                <c:pt idx="0">
                  <c:v>4388</c:v>
                </c:pt>
              </c:numCache>
            </c:numRef>
          </c:val>
        </c:ser>
        <c:ser>
          <c:idx val="3"/>
          <c:order val="3"/>
          <c:tx>
            <c:strRef>
              <c:f>TN!$E$48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TN!$L$49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TN!$F$41</c:f>
              <c:numCache>
                <c:formatCode>#,##0</c:formatCode>
                <c:ptCount val="1"/>
                <c:pt idx="0">
                  <c:v>6772</c:v>
                </c:pt>
              </c:numCache>
            </c:numRef>
          </c:val>
        </c:ser>
        <c:ser>
          <c:idx val="4"/>
          <c:order val="4"/>
          <c:tx>
            <c:strRef>
              <c:f>TN!$G$48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TN!$L$49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TN!$H$41</c:f>
              <c:numCache>
                <c:formatCode>#,##0</c:formatCode>
                <c:ptCount val="1"/>
                <c:pt idx="0">
                  <c:v>4268</c:v>
                </c:pt>
              </c:numCache>
            </c:numRef>
          </c:val>
        </c:ser>
        <c:axId val="175422080"/>
        <c:axId val="175440256"/>
      </c:barChart>
      <c:catAx>
        <c:axId val="175422080"/>
        <c:scaling>
          <c:orientation val="minMax"/>
        </c:scaling>
        <c:axPos val="b"/>
        <c:majorTickMark val="none"/>
        <c:tickLblPos val="nextTo"/>
        <c:crossAx val="175440256"/>
        <c:crosses val="autoZero"/>
        <c:auto val="1"/>
        <c:lblAlgn val="ctr"/>
        <c:lblOffset val="100"/>
      </c:catAx>
      <c:valAx>
        <c:axId val="17544025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7542208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Nitra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NR!$C$49</c:f>
              <c:strCache>
                <c:ptCount val="1"/>
                <c:pt idx="0">
                  <c:v>Dodatočná potreba </c:v>
                </c:pt>
              </c:strCache>
            </c:strRef>
          </c:tx>
          <c:dLbls>
            <c:showVal val="1"/>
          </c:dLbls>
          <c:cat>
            <c:strRef>
              <c:f>NR!$L$49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NR!$C$41</c:f>
              <c:numCache>
                <c:formatCode>#,##0</c:formatCode>
                <c:ptCount val="1"/>
                <c:pt idx="0">
                  <c:v>2597</c:v>
                </c:pt>
              </c:numCache>
            </c:numRef>
          </c:val>
        </c:ser>
        <c:ser>
          <c:idx val="1"/>
          <c:order val="1"/>
          <c:tx>
            <c:strRef>
              <c:f>NR!$B$61</c:f>
              <c:strCache>
                <c:ptCount val="1"/>
                <c:pt idx="0">
                  <c:v>Rámcová prognóza novoprijatých žiakov</c:v>
                </c:pt>
              </c:strCache>
            </c:strRef>
          </c:tx>
          <c:dLbls>
            <c:showVal val="1"/>
          </c:dLbls>
          <c:cat>
            <c:strRef>
              <c:f>NR!$L$49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NR!$C$61</c:f>
              <c:numCache>
                <c:formatCode>General</c:formatCode>
                <c:ptCount val="1"/>
                <c:pt idx="0">
                  <c:v>5385</c:v>
                </c:pt>
              </c:numCache>
            </c:numRef>
          </c:val>
        </c:ser>
        <c:ser>
          <c:idx val="2"/>
          <c:order val="2"/>
          <c:tx>
            <c:strRef>
              <c:f>NR!$D$49</c:f>
              <c:strCache>
                <c:ptCount val="1"/>
                <c:pt idx="0">
                  <c:v>Schválené KR OVP </c:v>
                </c:pt>
              </c:strCache>
            </c:strRef>
          </c:tx>
          <c:dLbls>
            <c:showVal val="1"/>
          </c:dLbls>
          <c:cat>
            <c:strRef>
              <c:f>NR!$L$49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NR!$D$41</c:f>
              <c:numCache>
                <c:formatCode>#,##0</c:formatCode>
                <c:ptCount val="1"/>
                <c:pt idx="0">
                  <c:v>5851</c:v>
                </c:pt>
              </c:numCache>
            </c:numRef>
          </c:val>
        </c:ser>
        <c:ser>
          <c:idx val="3"/>
          <c:order val="3"/>
          <c:tx>
            <c:strRef>
              <c:f>NR!$E$48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NR!$L$49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NR!$F$41</c:f>
              <c:numCache>
                <c:formatCode>#,##0</c:formatCode>
                <c:ptCount val="1"/>
                <c:pt idx="0">
                  <c:v>8544</c:v>
                </c:pt>
              </c:numCache>
            </c:numRef>
          </c:val>
        </c:ser>
        <c:ser>
          <c:idx val="4"/>
          <c:order val="4"/>
          <c:tx>
            <c:strRef>
              <c:f>NR!$G$48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NR!$L$49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NR!$H$41</c:f>
              <c:numCache>
                <c:formatCode>#,##0</c:formatCode>
                <c:ptCount val="1"/>
                <c:pt idx="0">
                  <c:v>5857</c:v>
                </c:pt>
              </c:numCache>
            </c:numRef>
          </c:val>
        </c:ser>
        <c:axId val="175526656"/>
        <c:axId val="175528192"/>
      </c:barChart>
      <c:catAx>
        <c:axId val="175526656"/>
        <c:scaling>
          <c:orientation val="minMax"/>
        </c:scaling>
        <c:axPos val="b"/>
        <c:majorTickMark val="none"/>
        <c:tickLblPos val="nextTo"/>
        <c:crossAx val="175528192"/>
        <c:crosses val="autoZero"/>
        <c:auto val="1"/>
        <c:lblAlgn val="ctr"/>
        <c:lblOffset val="100"/>
      </c:catAx>
      <c:valAx>
        <c:axId val="17552819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755266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Žilina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ZA!$C$49</c:f>
              <c:strCache>
                <c:ptCount val="1"/>
                <c:pt idx="0">
                  <c:v>Dodatočná potreba </c:v>
                </c:pt>
              </c:strCache>
            </c:strRef>
          </c:tx>
          <c:dLbls>
            <c:showVal val="1"/>
          </c:dLbls>
          <c:cat>
            <c:strRef>
              <c:f>ZA!$L$49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ZA!$C$41</c:f>
              <c:numCache>
                <c:formatCode>#,##0</c:formatCode>
                <c:ptCount val="1"/>
                <c:pt idx="0">
                  <c:v>3240</c:v>
                </c:pt>
              </c:numCache>
            </c:numRef>
          </c:val>
        </c:ser>
        <c:ser>
          <c:idx val="1"/>
          <c:order val="1"/>
          <c:tx>
            <c:strRef>
              <c:f>ZA!$B$61</c:f>
              <c:strCache>
                <c:ptCount val="1"/>
                <c:pt idx="0">
                  <c:v>Rámcová prognóza novoprijatých žiakov</c:v>
                </c:pt>
              </c:strCache>
            </c:strRef>
          </c:tx>
          <c:dLbls>
            <c:showVal val="1"/>
          </c:dLbls>
          <c:cat>
            <c:strRef>
              <c:f>ZA!$L$49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ZA!$C$61</c:f>
              <c:numCache>
                <c:formatCode>General</c:formatCode>
                <c:ptCount val="1"/>
                <c:pt idx="0">
                  <c:v>6592</c:v>
                </c:pt>
              </c:numCache>
            </c:numRef>
          </c:val>
        </c:ser>
        <c:ser>
          <c:idx val="2"/>
          <c:order val="2"/>
          <c:tx>
            <c:strRef>
              <c:f>ZA!$D$49</c:f>
              <c:strCache>
                <c:ptCount val="1"/>
                <c:pt idx="0">
                  <c:v>Schválené KR OVP </c:v>
                </c:pt>
              </c:strCache>
            </c:strRef>
          </c:tx>
          <c:dLbls>
            <c:showVal val="1"/>
          </c:dLbls>
          <c:cat>
            <c:strRef>
              <c:f>ZA!$L$49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ZA!$D$41</c:f>
              <c:numCache>
                <c:formatCode>#,##0</c:formatCode>
                <c:ptCount val="1"/>
                <c:pt idx="0">
                  <c:v>6722</c:v>
                </c:pt>
              </c:numCache>
            </c:numRef>
          </c:val>
        </c:ser>
        <c:ser>
          <c:idx val="3"/>
          <c:order val="3"/>
          <c:tx>
            <c:strRef>
              <c:f>ZA!$E$48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ZA!$L$49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ZA!$F$41</c:f>
              <c:numCache>
                <c:formatCode>#,##0</c:formatCode>
                <c:ptCount val="1"/>
                <c:pt idx="0">
                  <c:v>9563</c:v>
                </c:pt>
              </c:numCache>
            </c:numRef>
          </c:val>
        </c:ser>
        <c:ser>
          <c:idx val="4"/>
          <c:order val="4"/>
          <c:tx>
            <c:strRef>
              <c:f>ZA!$G$48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ZA!$L$49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ZA!$H$41</c:f>
              <c:numCache>
                <c:formatCode>#,##0</c:formatCode>
                <c:ptCount val="1"/>
                <c:pt idx="0">
                  <c:v>6722</c:v>
                </c:pt>
              </c:numCache>
            </c:numRef>
          </c:val>
        </c:ser>
        <c:axId val="184294400"/>
        <c:axId val="184300288"/>
      </c:barChart>
      <c:catAx>
        <c:axId val="184294400"/>
        <c:scaling>
          <c:orientation val="minMax"/>
        </c:scaling>
        <c:axPos val="b"/>
        <c:majorTickMark val="none"/>
        <c:tickLblPos val="nextTo"/>
        <c:crossAx val="184300288"/>
        <c:crosses val="autoZero"/>
        <c:auto val="1"/>
        <c:lblAlgn val="ctr"/>
        <c:lblOffset val="100"/>
      </c:catAx>
      <c:valAx>
        <c:axId val="18430028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842944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algn="ctr" rtl="0">
              <a:defRPr lang="sk-SK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 dirty="0" smtClean="0"/>
              <a:t>VUC Banská Bystrica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BB!$C$49</c:f>
              <c:strCache>
                <c:ptCount val="1"/>
                <c:pt idx="0">
                  <c:v>Dodatočná potreba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BB!$L$49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BB!$C$54</c:f>
              <c:numCache>
                <c:formatCode>#,##0</c:formatCode>
                <c:ptCount val="1"/>
                <c:pt idx="0">
                  <c:v>1839</c:v>
                </c:pt>
              </c:numCache>
            </c:numRef>
          </c:val>
        </c:ser>
        <c:ser>
          <c:idx val="1"/>
          <c:order val="1"/>
          <c:tx>
            <c:strRef>
              <c:f>BB!$B$61</c:f>
              <c:strCache>
                <c:ptCount val="1"/>
                <c:pt idx="0">
                  <c:v>Rámcová prognóza novoprijatých žiakov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BB!$L$49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BB!$C$61</c:f>
              <c:numCache>
                <c:formatCode>General</c:formatCode>
                <c:ptCount val="1"/>
                <c:pt idx="0">
                  <c:v>4860</c:v>
                </c:pt>
              </c:numCache>
            </c:numRef>
          </c:val>
        </c:ser>
        <c:ser>
          <c:idx val="2"/>
          <c:order val="2"/>
          <c:tx>
            <c:strRef>
              <c:f>BB!$D$49</c:f>
              <c:strCache>
                <c:ptCount val="1"/>
                <c:pt idx="0">
                  <c:v>Schválené KR OVP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BB!$L$49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BB!$D$54</c:f>
              <c:numCache>
                <c:formatCode>#,##0</c:formatCode>
                <c:ptCount val="1"/>
                <c:pt idx="0">
                  <c:v>4825</c:v>
                </c:pt>
              </c:numCache>
            </c:numRef>
          </c:val>
        </c:ser>
        <c:ser>
          <c:idx val="3"/>
          <c:order val="3"/>
          <c:tx>
            <c:strRef>
              <c:f>BB!$E$48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BB!$L$49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BB!$F$54</c:f>
              <c:numCache>
                <c:formatCode>#,##0</c:formatCode>
                <c:ptCount val="1"/>
                <c:pt idx="0">
                  <c:v>8149</c:v>
                </c:pt>
              </c:numCache>
            </c:numRef>
          </c:val>
        </c:ser>
        <c:ser>
          <c:idx val="4"/>
          <c:order val="4"/>
          <c:tx>
            <c:strRef>
              <c:f>BB!$G$48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BB!$L$49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BB!$H$54</c:f>
              <c:numCache>
                <c:formatCode>#,##0</c:formatCode>
                <c:ptCount val="1"/>
                <c:pt idx="0">
                  <c:v>6118</c:v>
                </c:pt>
              </c:numCache>
            </c:numRef>
          </c:val>
        </c:ser>
        <c:axId val="184419840"/>
        <c:axId val="184421376"/>
      </c:barChart>
      <c:catAx>
        <c:axId val="184419840"/>
        <c:scaling>
          <c:orientation val="minMax"/>
        </c:scaling>
        <c:axPos val="b"/>
        <c:numFmt formatCode="General" sourceLinked="0"/>
        <c:majorTickMark val="none"/>
        <c:tickLblPos val="nextTo"/>
        <c:crossAx val="184421376"/>
        <c:crosses val="autoZero"/>
        <c:auto val="1"/>
        <c:lblAlgn val="ctr"/>
        <c:lblOffset val="100"/>
      </c:catAx>
      <c:valAx>
        <c:axId val="18442137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8441984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Prešov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PO!$C$49</c:f>
              <c:strCache>
                <c:ptCount val="1"/>
                <c:pt idx="0">
                  <c:v>Dodatočná potreba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PO!$C$54</c:f>
              <c:numCache>
                <c:formatCode>#,##0</c:formatCode>
                <c:ptCount val="1"/>
                <c:pt idx="0">
                  <c:v>2689</c:v>
                </c:pt>
              </c:numCache>
            </c:numRef>
          </c:val>
        </c:ser>
        <c:ser>
          <c:idx val="1"/>
          <c:order val="1"/>
          <c:tx>
            <c:strRef>
              <c:f>PO!$B$61</c:f>
              <c:strCache>
                <c:ptCount val="1"/>
                <c:pt idx="0">
                  <c:v>Rámcová prognóza novoprijatých žiakov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PO!$C$61</c:f>
              <c:numCache>
                <c:formatCode>#,##0</c:formatCode>
                <c:ptCount val="1"/>
                <c:pt idx="0">
                  <c:v>6735</c:v>
                </c:pt>
              </c:numCache>
            </c:numRef>
          </c:val>
        </c:ser>
        <c:ser>
          <c:idx val="2"/>
          <c:order val="2"/>
          <c:tx>
            <c:strRef>
              <c:f>PO!$D$49</c:f>
              <c:strCache>
                <c:ptCount val="1"/>
                <c:pt idx="0">
                  <c:v>Schválené KR OVP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PO!$D$54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PO!$E$48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PO!$F$54</c:f>
              <c:numCache>
                <c:formatCode>#,##0</c:formatCode>
                <c:ptCount val="1"/>
                <c:pt idx="0">
                  <c:v>11943</c:v>
                </c:pt>
              </c:numCache>
            </c:numRef>
          </c:val>
        </c:ser>
        <c:ser>
          <c:idx val="4"/>
          <c:order val="4"/>
          <c:tx>
            <c:strRef>
              <c:f>PO!$G$48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PO!$H$54</c:f>
              <c:numCache>
                <c:formatCode>#,##0</c:formatCode>
                <c:ptCount val="1"/>
                <c:pt idx="0">
                  <c:v>8395</c:v>
                </c:pt>
              </c:numCache>
            </c:numRef>
          </c:val>
        </c:ser>
        <c:axId val="185466880"/>
        <c:axId val="185468416"/>
      </c:barChart>
      <c:catAx>
        <c:axId val="185466880"/>
        <c:scaling>
          <c:orientation val="minMax"/>
        </c:scaling>
        <c:axPos val="b"/>
        <c:numFmt formatCode="General" sourceLinked="0"/>
        <c:majorTickMark val="none"/>
        <c:tickLblPos val="nextTo"/>
        <c:crossAx val="185468416"/>
        <c:crosses val="autoZero"/>
        <c:auto val="1"/>
        <c:lblAlgn val="ctr"/>
        <c:lblOffset val="100"/>
      </c:catAx>
      <c:valAx>
        <c:axId val="18546841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8546688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800" b="1" i="0" baseline="0" dirty="0" smtClean="0"/>
              <a:t>VUC Košice</a:t>
            </a:r>
            <a:endParaRPr lang="sk-SK" sz="1800" b="1" i="0" baseline="0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KE!$C$49</c:f>
              <c:strCache>
                <c:ptCount val="1"/>
                <c:pt idx="0">
                  <c:v>Dodatočná potreba </c:v>
                </c:pt>
              </c:strCache>
            </c:strRef>
          </c:tx>
          <c:dLbls>
            <c:showVal val="1"/>
          </c:dLbls>
          <c:cat>
            <c:strRef>
              <c:f>KE!$L$49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KE!$C$41</c:f>
              <c:numCache>
                <c:formatCode>#,##0</c:formatCode>
                <c:ptCount val="1"/>
                <c:pt idx="0">
                  <c:v>3681</c:v>
                </c:pt>
              </c:numCache>
            </c:numRef>
          </c:val>
        </c:ser>
        <c:ser>
          <c:idx val="1"/>
          <c:order val="1"/>
          <c:tx>
            <c:strRef>
              <c:f>KE!$B$61</c:f>
              <c:strCache>
                <c:ptCount val="1"/>
                <c:pt idx="0">
                  <c:v>Rámcová prognóza novoprijatých žiakov</c:v>
                </c:pt>
              </c:strCache>
            </c:strRef>
          </c:tx>
          <c:dLbls>
            <c:showVal val="1"/>
          </c:dLbls>
          <c:cat>
            <c:strRef>
              <c:f>KE!$L$49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KE!$C$61</c:f>
              <c:numCache>
                <c:formatCode>#,##0</c:formatCode>
                <c:ptCount val="1"/>
                <c:pt idx="0">
                  <c:v>6185</c:v>
                </c:pt>
              </c:numCache>
            </c:numRef>
          </c:val>
        </c:ser>
        <c:ser>
          <c:idx val="2"/>
          <c:order val="2"/>
          <c:tx>
            <c:strRef>
              <c:f>KE!$D$49</c:f>
              <c:strCache>
                <c:ptCount val="1"/>
                <c:pt idx="0">
                  <c:v>Schválené KR OVP </c:v>
                </c:pt>
              </c:strCache>
            </c:strRef>
          </c:tx>
          <c:dLbls>
            <c:showVal val="1"/>
          </c:dLbls>
          <c:cat>
            <c:strRef>
              <c:f>KE!$L$49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KE!$D$41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KE!$E$48</c:f>
              <c:strCache>
                <c:ptCount val="1"/>
                <c:pt idx="0">
                  <c:v>Návrh plánu školy</c:v>
                </c:pt>
              </c:strCache>
            </c:strRef>
          </c:tx>
          <c:dLbls>
            <c:showVal val="1"/>
          </c:dLbls>
          <c:cat>
            <c:strRef>
              <c:f>KE!$L$49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KE!$F$41</c:f>
              <c:numCache>
                <c:formatCode>#,##0</c:formatCode>
                <c:ptCount val="1"/>
                <c:pt idx="0">
                  <c:v>9955</c:v>
                </c:pt>
              </c:numCache>
            </c:numRef>
          </c:val>
        </c:ser>
        <c:ser>
          <c:idx val="4"/>
          <c:order val="4"/>
          <c:tx>
            <c:strRef>
              <c:f>KE!$G$48</c:f>
              <c:strCache>
                <c:ptCount val="1"/>
                <c:pt idx="0">
                  <c:v>Schválený plán z VUC</c:v>
                </c:pt>
              </c:strCache>
            </c:strRef>
          </c:tx>
          <c:dLbls>
            <c:showVal val="1"/>
          </c:dLbls>
          <c:cat>
            <c:strRef>
              <c:f>KE!$L$49</c:f>
              <c:strCache>
                <c:ptCount val="1"/>
                <c:pt idx="0">
                  <c:v>Počet žiakov</c:v>
                </c:pt>
              </c:strCache>
            </c:strRef>
          </c:cat>
          <c:val>
            <c:numRef>
              <c:f>KE!$H$41</c:f>
              <c:numCache>
                <c:formatCode>#,##0</c:formatCode>
                <c:ptCount val="1"/>
                <c:pt idx="0">
                  <c:v>6539</c:v>
                </c:pt>
              </c:numCache>
            </c:numRef>
          </c:val>
        </c:ser>
        <c:axId val="185518336"/>
        <c:axId val="185536512"/>
      </c:barChart>
      <c:catAx>
        <c:axId val="185518336"/>
        <c:scaling>
          <c:orientation val="minMax"/>
        </c:scaling>
        <c:axPos val="b"/>
        <c:majorTickMark val="none"/>
        <c:tickLblPos val="nextTo"/>
        <c:crossAx val="185536512"/>
        <c:crosses val="autoZero"/>
        <c:auto val="1"/>
        <c:lblAlgn val="ctr"/>
        <c:lblOffset val="100"/>
      </c:catAx>
      <c:valAx>
        <c:axId val="18553651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1855183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2015-12-14T10:46:00Z</dcterms:created>
  <dcterms:modified xsi:type="dcterms:W3CDTF">2015-12-14T10:46:00Z</dcterms:modified>
</cp:coreProperties>
</file>