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3B" w:rsidRDefault="00102F3B" w:rsidP="00102F3B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Príloha č. 9</w:t>
      </w:r>
    </w:p>
    <w:p w:rsidR="00102F3B" w:rsidRDefault="00102F3B" w:rsidP="00102F3B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6871B1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Porovnanie počtu žiakov v procese pláno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vania na školský rok 2015/2016 - </w:t>
      </w:r>
      <w:r w:rsidRPr="006871B1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vybrané údaje za jednotlivé VÚC</w:t>
      </w:r>
    </w:p>
    <w:p w:rsidR="00102F3B" w:rsidRPr="006871B1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609975"/>
            <wp:effectExtent l="0" t="0" r="0" b="0"/>
            <wp:docPr id="64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640C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619500"/>
            <wp:effectExtent l="0" t="0" r="0" b="0"/>
            <wp:docPr id="65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871B1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867150"/>
            <wp:effectExtent l="0" t="0" r="0" b="0"/>
            <wp:docPr id="66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871B1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4000500"/>
            <wp:effectExtent l="0" t="0" r="0" b="0"/>
            <wp:docPr id="71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871B1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4391025"/>
            <wp:effectExtent l="0" t="0" r="0" b="0"/>
            <wp:docPr id="67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871B1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914775"/>
            <wp:effectExtent l="0" t="0" r="0" b="0"/>
            <wp:docPr id="68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871B1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867150"/>
            <wp:effectExtent l="0" t="0" r="0" b="0"/>
            <wp:docPr id="69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2F3B" w:rsidRDefault="00102F3B" w:rsidP="00102F3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871B1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914775"/>
            <wp:effectExtent l="0" t="0" r="0" b="0"/>
            <wp:docPr id="70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04D9" w:rsidRDefault="00A704D9"/>
    <w:sectPr w:rsidR="00A704D9" w:rsidSect="00A7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F3B"/>
    <w:rsid w:val="00102F3B"/>
    <w:rsid w:val="00450FEE"/>
    <w:rsid w:val="00A7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F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F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Podklady%20k%20prezent&#225;cii,%20Ko\15-16,%20Skupiny%20odborov,%20Pl&#225;novanie%20v&#253;kono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Bratislava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BA!$B$61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BA!$C$61</c:f>
              <c:numCache>
                <c:formatCode>#,##0</c:formatCode>
                <c:ptCount val="1"/>
                <c:pt idx="0">
                  <c:v>4547</c:v>
                </c:pt>
              </c:numCache>
            </c:numRef>
          </c:val>
        </c:ser>
        <c:ser>
          <c:idx val="1"/>
          <c:order val="1"/>
          <c:tx>
            <c:strRef>
              <c:f>BA!$E$48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BA!$F$42</c:f>
              <c:numCache>
                <c:formatCode>#,##0</c:formatCode>
                <c:ptCount val="1"/>
                <c:pt idx="0">
                  <c:v>7124</c:v>
                </c:pt>
              </c:numCache>
            </c:numRef>
          </c:val>
        </c:ser>
        <c:ser>
          <c:idx val="2"/>
          <c:order val="2"/>
          <c:tx>
            <c:strRef>
              <c:f>BA!$G$48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BA!$H$42</c:f>
              <c:numCache>
                <c:formatCode>#,##0</c:formatCode>
                <c:ptCount val="1"/>
                <c:pt idx="0">
                  <c:v>6856</c:v>
                </c:pt>
              </c:numCache>
            </c:numRef>
          </c:val>
        </c:ser>
        <c:ser>
          <c:idx val="3"/>
          <c:order val="3"/>
          <c:tx>
            <c:strRef>
              <c:f>BA!$K$48</c:f>
              <c:strCache>
                <c:ptCount val="1"/>
                <c:pt idx="0">
                  <c:v>Skutočnosť 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BA!$L$42</c:f>
              <c:numCache>
                <c:formatCode>#,##0</c:formatCode>
                <c:ptCount val="1"/>
                <c:pt idx="0">
                  <c:v>4428</c:v>
                </c:pt>
              </c:numCache>
            </c:numRef>
          </c:val>
        </c:ser>
        <c:axId val="92033024"/>
        <c:axId val="92039040"/>
      </c:barChart>
      <c:catAx>
        <c:axId val="92033024"/>
        <c:scaling>
          <c:orientation val="minMax"/>
        </c:scaling>
        <c:axPos val="b"/>
        <c:majorTickMark val="none"/>
        <c:tickLblPos val="nextTo"/>
        <c:crossAx val="92039040"/>
        <c:crosses val="autoZero"/>
        <c:auto val="1"/>
        <c:lblAlgn val="ctr"/>
        <c:lblOffset val="100"/>
      </c:catAx>
      <c:valAx>
        <c:axId val="9203904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20330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Trnava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TT!$B$61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TT!$C$61</c:f>
              <c:numCache>
                <c:formatCode>#,##0</c:formatCode>
                <c:ptCount val="1"/>
                <c:pt idx="0">
                  <c:v>5154</c:v>
                </c:pt>
              </c:numCache>
            </c:numRef>
          </c:val>
        </c:ser>
        <c:ser>
          <c:idx val="1"/>
          <c:order val="1"/>
          <c:tx>
            <c:strRef>
              <c:f>TT!$E$48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TT!$F$40</c:f>
              <c:numCache>
                <c:formatCode>#,##0</c:formatCode>
                <c:ptCount val="1"/>
                <c:pt idx="0">
                  <c:v>8956</c:v>
                </c:pt>
              </c:numCache>
            </c:numRef>
          </c:val>
        </c:ser>
        <c:ser>
          <c:idx val="2"/>
          <c:order val="2"/>
          <c:tx>
            <c:strRef>
              <c:f>TT!$G$48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TT!$H$40</c:f>
              <c:numCache>
                <c:formatCode>#,##0</c:formatCode>
                <c:ptCount val="1"/>
                <c:pt idx="0">
                  <c:v>8031</c:v>
                </c:pt>
              </c:numCache>
            </c:numRef>
          </c:val>
        </c:ser>
        <c:ser>
          <c:idx val="3"/>
          <c:order val="3"/>
          <c:tx>
            <c:strRef>
              <c:f>TT!$K$48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TT!$L$40</c:f>
              <c:numCache>
                <c:formatCode>#,##0</c:formatCode>
                <c:ptCount val="1"/>
                <c:pt idx="0">
                  <c:v>4576</c:v>
                </c:pt>
              </c:numCache>
            </c:numRef>
          </c:val>
        </c:ser>
        <c:axId val="92081536"/>
        <c:axId val="92104576"/>
      </c:barChart>
      <c:catAx>
        <c:axId val="92081536"/>
        <c:scaling>
          <c:orientation val="minMax"/>
        </c:scaling>
        <c:axPos val="b"/>
        <c:majorTickMark val="none"/>
        <c:tickLblPos val="nextTo"/>
        <c:crossAx val="92104576"/>
        <c:crosses val="autoZero"/>
        <c:auto val="1"/>
        <c:lblAlgn val="ctr"/>
        <c:lblOffset val="100"/>
      </c:catAx>
      <c:valAx>
        <c:axId val="9210457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20815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Trenčín</a:t>
            </a:r>
            <a:endParaRPr lang="sk-SK" sz="1800" b="1" i="0" baseline="0" dirty="0"/>
          </a:p>
        </c:rich>
      </c:tx>
      <c:layout>
        <c:manualLayout>
          <c:xMode val="edge"/>
          <c:yMode val="edge"/>
          <c:x val="0.40226888305628611"/>
          <c:y val="2.419639754014780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TN!$B$61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TN!$C$61</c:f>
              <c:numCache>
                <c:formatCode>#,##0</c:formatCode>
                <c:ptCount val="1"/>
                <c:pt idx="0">
                  <c:v>4806</c:v>
                </c:pt>
              </c:numCache>
            </c:numRef>
          </c:val>
        </c:ser>
        <c:ser>
          <c:idx val="1"/>
          <c:order val="1"/>
          <c:tx>
            <c:strRef>
              <c:f>TN!$E$48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TN!$F$42</c:f>
              <c:numCache>
                <c:formatCode>#,##0</c:formatCode>
                <c:ptCount val="1"/>
                <c:pt idx="0">
                  <c:v>6542</c:v>
                </c:pt>
              </c:numCache>
            </c:numRef>
          </c:val>
        </c:ser>
        <c:ser>
          <c:idx val="2"/>
          <c:order val="2"/>
          <c:tx>
            <c:strRef>
              <c:f>TN!$G$48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TN!$H$42</c:f>
              <c:numCache>
                <c:formatCode>#,##0</c:formatCode>
                <c:ptCount val="1"/>
                <c:pt idx="0">
                  <c:v>5655.8</c:v>
                </c:pt>
              </c:numCache>
            </c:numRef>
          </c:val>
        </c:ser>
        <c:ser>
          <c:idx val="3"/>
          <c:order val="3"/>
          <c:tx>
            <c:strRef>
              <c:f>TN!$K$48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TN!$L$42</c:f>
              <c:numCache>
                <c:formatCode>#,##0</c:formatCode>
                <c:ptCount val="1"/>
                <c:pt idx="0">
                  <c:v>4527</c:v>
                </c:pt>
              </c:numCache>
            </c:numRef>
          </c:val>
        </c:ser>
        <c:axId val="92580864"/>
        <c:axId val="92599808"/>
      </c:barChart>
      <c:catAx>
        <c:axId val="92580864"/>
        <c:scaling>
          <c:orientation val="minMax"/>
        </c:scaling>
        <c:axPos val="b"/>
        <c:majorTickMark val="none"/>
        <c:tickLblPos val="nextTo"/>
        <c:crossAx val="92599808"/>
        <c:crosses val="autoZero"/>
        <c:auto val="1"/>
        <c:lblAlgn val="ctr"/>
        <c:lblOffset val="100"/>
      </c:catAx>
      <c:valAx>
        <c:axId val="9259980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25808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Nitra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NR!$B$61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NR!$C$61</c:f>
              <c:numCache>
                <c:formatCode>#,##0</c:formatCode>
                <c:ptCount val="1"/>
                <c:pt idx="0">
                  <c:v>5944</c:v>
                </c:pt>
              </c:numCache>
            </c:numRef>
          </c:val>
        </c:ser>
        <c:ser>
          <c:idx val="1"/>
          <c:order val="1"/>
          <c:tx>
            <c:strRef>
              <c:f>NR!$E$48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NR!$F$42</c:f>
              <c:numCache>
                <c:formatCode>#,##0</c:formatCode>
                <c:ptCount val="1"/>
                <c:pt idx="0">
                  <c:v>8881</c:v>
                </c:pt>
              </c:numCache>
            </c:numRef>
          </c:val>
        </c:ser>
        <c:ser>
          <c:idx val="2"/>
          <c:order val="2"/>
          <c:tx>
            <c:strRef>
              <c:f>NR!$G$48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NR!$H$42</c:f>
              <c:numCache>
                <c:formatCode>#,##0</c:formatCode>
                <c:ptCount val="1"/>
                <c:pt idx="0">
                  <c:v>5987</c:v>
                </c:pt>
              </c:numCache>
            </c:numRef>
          </c:val>
        </c:ser>
        <c:ser>
          <c:idx val="3"/>
          <c:order val="3"/>
          <c:tx>
            <c:strRef>
              <c:f>NR!$K$48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NR!$L$42</c:f>
              <c:numCache>
                <c:formatCode>#,##0</c:formatCode>
                <c:ptCount val="1"/>
                <c:pt idx="0">
                  <c:v>5899</c:v>
                </c:pt>
              </c:numCache>
            </c:numRef>
          </c:val>
        </c:ser>
        <c:axId val="96225536"/>
        <c:axId val="96257920"/>
      </c:barChart>
      <c:catAx>
        <c:axId val="96225536"/>
        <c:scaling>
          <c:orientation val="minMax"/>
        </c:scaling>
        <c:axPos val="b"/>
        <c:majorTickMark val="none"/>
        <c:tickLblPos val="nextTo"/>
        <c:crossAx val="96257920"/>
        <c:crosses val="autoZero"/>
        <c:auto val="1"/>
        <c:lblAlgn val="ctr"/>
        <c:lblOffset val="100"/>
      </c:catAx>
      <c:valAx>
        <c:axId val="9625792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62255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Žilina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ZA!$B$61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ZA!$C$61</c:f>
              <c:numCache>
                <c:formatCode>#,##0</c:formatCode>
                <c:ptCount val="1"/>
                <c:pt idx="0">
                  <c:v>7086</c:v>
                </c:pt>
              </c:numCache>
            </c:numRef>
          </c:val>
        </c:ser>
        <c:ser>
          <c:idx val="1"/>
          <c:order val="1"/>
          <c:tx>
            <c:strRef>
              <c:f>ZA!$E$48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ZA!$F$42</c:f>
              <c:numCache>
                <c:formatCode>#,##0</c:formatCode>
                <c:ptCount val="1"/>
                <c:pt idx="0">
                  <c:v>9681</c:v>
                </c:pt>
              </c:numCache>
            </c:numRef>
          </c:val>
        </c:ser>
        <c:ser>
          <c:idx val="2"/>
          <c:order val="2"/>
          <c:tx>
            <c:strRef>
              <c:f>ZA!$G$48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ZA!$H$42</c:f>
              <c:numCache>
                <c:formatCode>#,##0</c:formatCode>
                <c:ptCount val="1"/>
                <c:pt idx="0">
                  <c:v>8799</c:v>
                </c:pt>
              </c:numCache>
            </c:numRef>
          </c:val>
        </c:ser>
        <c:ser>
          <c:idx val="3"/>
          <c:order val="3"/>
          <c:tx>
            <c:strRef>
              <c:f>ZA!$K$48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ZA!$L$42</c:f>
              <c:numCache>
                <c:formatCode>#,##0</c:formatCode>
                <c:ptCount val="1"/>
                <c:pt idx="0">
                  <c:v>6677</c:v>
                </c:pt>
              </c:numCache>
            </c:numRef>
          </c:val>
        </c:ser>
        <c:axId val="158954624"/>
        <c:axId val="158956160"/>
      </c:barChart>
      <c:catAx>
        <c:axId val="158954624"/>
        <c:scaling>
          <c:orientation val="minMax"/>
        </c:scaling>
        <c:axPos val="b"/>
        <c:majorTickMark val="none"/>
        <c:tickLblPos val="nextTo"/>
        <c:crossAx val="158956160"/>
        <c:crosses val="autoZero"/>
        <c:auto val="1"/>
        <c:lblAlgn val="ctr"/>
        <c:lblOffset val="100"/>
      </c:catAx>
      <c:valAx>
        <c:axId val="15895616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589546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Banská Bystrica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BB!$B$61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BB!$C$61</c:f>
              <c:numCache>
                <c:formatCode>#,##0</c:formatCode>
                <c:ptCount val="1"/>
                <c:pt idx="0">
                  <c:v>5411</c:v>
                </c:pt>
              </c:numCache>
            </c:numRef>
          </c:val>
        </c:ser>
        <c:ser>
          <c:idx val="1"/>
          <c:order val="1"/>
          <c:tx>
            <c:strRef>
              <c:f>BB!$E$48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BB!$F$42</c:f>
              <c:numCache>
                <c:formatCode>#,##0</c:formatCode>
                <c:ptCount val="1"/>
                <c:pt idx="0">
                  <c:v>9384</c:v>
                </c:pt>
              </c:numCache>
            </c:numRef>
          </c:val>
        </c:ser>
        <c:ser>
          <c:idx val="2"/>
          <c:order val="2"/>
          <c:tx>
            <c:strRef>
              <c:f>BB!$G$48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BB!$H$42</c:f>
              <c:numCache>
                <c:formatCode>#,##0</c:formatCode>
                <c:ptCount val="1"/>
                <c:pt idx="0">
                  <c:v>7310</c:v>
                </c:pt>
              </c:numCache>
            </c:numRef>
          </c:val>
        </c:ser>
        <c:ser>
          <c:idx val="3"/>
          <c:order val="3"/>
          <c:tx>
            <c:strRef>
              <c:f>BB!$K$48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BB!$L$42</c:f>
              <c:numCache>
                <c:formatCode>#,##0</c:formatCode>
                <c:ptCount val="1"/>
                <c:pt idx="0">
                  <c:v>4853</c:v>
                </c:pt>
              </c:numCache>
            </c:numRef>
          </c:val>
        </c:ser>
        <c:axId val="159004928"/>
        <c:axId val="159031296"/>
      </c:barChart>
      <c:catAx>
        <c:axId val="159004928"/>
        <c:scaling>
          <c:orientation val="minMax"/>
        </c:scaling>
        <c:axPos val="b"/>
        <c:majorTickMark val="none"/>
        <c:tickLblPos val="nextTo"/>
        <c:crossAx val="159031296"/>
        <c:crosses val="autoZero"/>
        <c:auto val="1"/>
        <c:lblAlgn val="ctr"/>
        <c:lblOffset val="100"/>
      </c:catAx>
      <c:valAx>
        <c:axId val="15903129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590049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smtClean="0"/>
              <a:t>VUC Prešov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PO!$B$61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PO!$C$61</c:f>
              <c:numCache>
                <c:formatCode>#,##0</c:formatCode>
                <c:ptCount val="1"/>
                <c:pt idx="0">
                  <c:v>7530</c:v>
                </c:pt>
              </c:numCache>
            </c:numRef>
          </c:val>
        </c:ser>
        <c:ser>
          <c:idx val="1"/>
          <c:order val="1"/>
          <c:tx>
            <c:strRef>
              <c:f>PO!$E$48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PO!$F$42</c:f>
              <c:numCache>
                <c:formatCode>#,##0</c:formatCode>
                <c:ptCount val="1"/>
                <c:pt idx="0">
                  <c:v>12692</c:v>
                </c:pt>
              </c:numCache>
            </c:numRef>
          </c:val>
        </c:ser>
        <c:ser>
          <c:idx val="2"/>
          <c:order val="2"/>
          <c:tx>
            <c:strRef>
              <c:f>PO!$G$48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PO!$H$42</c:f>
              <c:numCache>
                <c:formatCode>#,##0</c:formatCode>
                <c:ptCount val="1"/>
                <c:pt idx="0">
                  <c:v>9544</c:v>
                </c:pt>
              </c:numCache>
            </c:numRef>
          </c:val>
        </c:ser>
        <c:ser>
          <c:idx val="3"/>
          <c:order val="3"/>
          <c:tx>
            <c:strRef>
              <c:f>PO!$K$48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PO!$L$42</c:f>
              <c:numCache>
                <c:formatCode>#,##0</c:formatCode>
                <c:ptCount val="1"/>
                <c:pt idx="0">
                  <c:v>7159</c:v>
                </c:pt>
              </c:numCache>
            </c:numRef>
          </c:val>
        </c:ser>
        <c:axId val="159112576"/>
        <c:axId val="159188096"/>
      </c:barChart>
      <c:catAx>
        <c:axId val="159112576"/>
        <c:scaling>
          <c:orientation val="minMax"/>
        </c:scaling>
        <c:axPos val="b"/>
        <c:majorTickMark val="none"/>
        <c:tickLblPos val="nextTo"/>
        <c:crossAx val="159188096"/>
        <c:crosses val="autoZero"/>
        <c:auto val="1"/>
        <c:lblAlgn val="ctr"/>
        <c:lblOffset val="100"/>
      </c:catAx>
      <c:valAx>
        <c:axId val="15918809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591125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Košice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KE!$B$61</c:f>
              <c:strCache>
                <c:ptCount val="1"/>
                <c:pt idx="0">
                  <c:v>Očakávaný počet žiakov 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KE!$C$61</c:f>
              <c:numCache>
                <c:formatCode>#,##0</c:formatCode>
                <c:ptCount val="1"/>
                <c:pt idx="0">
                  <c:v>7006</c:v>
                </c:pt>
              </c:numCache>
            </c:numRef>
          </c:val>
        </c:ser>
        <c:ser>
          <c:idx val="1"/>
          <c:order val="1"/>
          <c:tx>
            <c:strRef>
              <c:f>KE!$E$48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KE!$F$42</c:f>
              <c:numCache>
                <c:formatCode>#,##0</c:formatCode>
                <c:ptCount val="1"/>
                <c:pt idx="0">
                  <c:v>9329.5</c:v>
                </c:pt>
              </c:numCache>
            </c:numRef>
          </c:val>
        </c:ser>
        <c:ser>
          <c:idx val="2"/>
          <c:order val="2"/>
          <c:tx>
            <c:strRef>
              <c:f>KE!$G$48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KE!$H$42</c:f>
              <c:numCache>
                <c:formatCode>#,##0</c:formatCode>
                <c:ptCount val="1"/>
                <c:pt idx="0">
                  <c:v>8073</c:v>
                </c:pt>
              </c:numCache>
            </c:numRef>
          </c:val>
        </c:ser>
        <c:ser>
          <c:idx val="3"/>
          <c:order val="3"/>
          <c:tx>
            <c:strRef>
              <c:f>KE!$K$48</c:f>
              <c:strCache>
                <c:ptCount val="1"/>
                <c:pt idx="0">
                  <c:v>Skutočnosť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KE!$L$42</c:f>
              <c:numCache>
                <c:formatCode>#,##0</c:formatCode>
                <c:ptCount val="1"/>
                <c:pt idx="0">
                  <c:v>6802</c:v>
                </c:pt>
              </c:numCache>
            </c:numRef>
          </c:val>
        </c:ser>
        <c:axId val="159245056"/>
        <c:axId val="159246592"/>
      </c:barChart>
      <c:catAx>
        <c:axId val="159245056"/>
        <c:scaling>
          <c:orientation val="minMax"/>
        </c:scaling>
        <c:axPos val="b"/>
        <c:majorTickMark val="none"/>
        <c:tickLblPos val="nextTo"/>
        <c:crossAx val="159246592"/>
        <c:crosses val="autoZero"/>
        <c:auto val="1"/>
        <c:lblAlgn val="ctr"/>
        <c:lblOffset val="100"/>
      </c:catAx>
      <c:valAx>
        <c:axId val="1592465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592450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2015-12-14T10:44:00Z</dcterms:created>
  <dcterms:modified xsi:type="dcterms:W3CDTF">2015-12-14T10:44:00Z</dcterms:modified>
</cp:coreProperties>
</file>